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Springfield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5002769550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2029-07-02. Plan: 2024 Springfield, Vermont All-Hazards Mitigation Plan Update (FEMA plan 109976), approved 2024-07-03.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2024-07-03: 1 new hazard declaration (1 incident):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35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5002769550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2029-07-02</w:t>
      </w:r>
    </w:p>
    <w:p>
      <w:pPr>
        <w:keepNext/>
        <w:spacing w:after="40" w:before="0"/>
      </w:pPr>
      <w:r>
        <w:rPr>
          <w:b/>
        </w:rPr>
        <w:t xml:space="preserve">Plan: </w:t>
      </w:r>
      <w:r>
        <w:rPr/>
        <w:t>2024 Springfield, Vermont All-Hazards Mitigation Plan Update (FEMA plan 109976)</w:t>
      </w:r>
    </w:p>
    <w:p>
      <w:pPr>
        <w:keepNext/>
        <w:spacing w:after="40" w:before="0"/>
      </w:pPr>
      <w:r>
        <w:rPr>
          <w:b/>
        </w:rPr>
        <w:t xml:space="preserve">Approved: </w:t>
      </w:r>
      <w:r>
        <w:rPr/>
        <w:t>2024-07-03</w:t>
      </w:r>
    </w:p>
    <w:p>
      <w:pPr>
        <w:keepNext/>
        <w:spacing w:after="40" w:before="0"/>
      </w:pPr>
      <w:r>
        <w:rPr>
          <w:b/>
        </w:rPr>
        <w:t xml:space="preserve">Days to expiry: </w:t>
      </w:r>
      <w:r>
        <w:rPr/>
        <w:t>1,006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49"/>
        <w:gridCol w:w="886"/>
        <w:gridCol w:w="3613"/>
        <w:gridCol w:w="3410"/>
        <w:gridCol w:w="1417"/>
        <w:gridCol w:w="1417"/>
        <w:gridCol w:w="1222"/>
      </w:tblGrid>
      <w:tr>
        <w:trPr>
          <w:cantSplit/>
          <w:tblHeader/>
        </w:trPr>
        <w:tc>
          <w:tcPr>
            <w:tcW w:type="dxa" w:w="2149"/>
            <w:shd w:val="clear" w:color="auto" w:fill="E8E8E8"/>
          </w:tcPr>
          <w:p>
            <w:pPr>
              <w:spacing w:after="0"/>
              <w:jc w:val="left"/>
            </w:pPr>
            <w:r>
              <w:rPr>
                <w:b/>
                <w:sz w:val="16"/>
              </w:rPr>
              <w:t>Jurisdiction</w:t>
            </w:r>
          </w:p>
        </w:tc>
        <w:tc>
          <w:tcPr>
            <w:tcW w:type="dxa" w:w="886"/>
            <w:shd w:val="clear" w:color="auto" w:fill="E8E8E8"/>
          </w:tcPr>
          <w:p>
            <w:pPr>
              <w:spacing w:after="0"/>
              <w:jc w:val="left"/>
            </w:pPr>
            <w:r>
              <w:rPr>
                <w:b/>
                <w:sz w:val="16"/>
              </w:rPr>
              <w:t>Type</w:t>
            </w:r>
          </w:p>
        </w:tc>
        <w:tc>
          <w:tcPr>
            <w:tcW w:type="dxa" w:w="3613"/>
            <w:shd w:val="clear" w:color="auto" w:fill="E8E8E8"/>
          </w:tcPr>
          <w:p>
            <w:pPr>
              <w:spacing w:after="0"/>
              <w:jc w:val="left"/>
            </w:pPr>
            <w:r>
              <w:rPr>
                <w:b/>
                <w:sz w:val="16"/>
              </w:rPr>
              <w:t>Status</w:t>
            </w:r>
          </w:p>
        </w:tc>
        <w:tc>
          <w:tcPr>
            <w:tcW w:type="dxa" w:w="3410"/>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49"/>
          </w:tcPr>
          <w:p>
            <w:pPr>
              <w:spacing w:after="0"/>
              <w:jc w:val="left"/>
            </w:pPr>
            <w:r>
              <w:rPr>
                <w:sz w:val="16"/>
              </w:rPr>
              <w:t>Springfield town</w:t>
            </w:r>
          </w:p>
        </w:tc>
        <w:tc>
          <w:tcPr>
            <w:tcW w:type="dxa" w:w="886"/>
          </w:tcPr>
          <w:p>
            <w:pPr>
              <w:spacing w:after="0"/>
              <w:jc w:val="left"/>
            </w:pPr>
            <w:r>
              <w:rPr>
                <w:sz w:val="16"/>
              </w:rPr>
              <w:t>Town</w:t>
            </w:r>
          </w:p>
        </w:tc>
        <w:tc>
          <w:tcPr>
            <w:tcW w:type="dxa" w:w="3613"/>
          </w:tcPr>
          <w:p>
            <w:pPr>
              <w:spacing w:after="0"/>
              <w:jc w:val="left"/>
            </w:pPr>
            <w:r>
              <w:rPr>
                <w:sz w:val="16"/>
              </w:rPr>
              <w:t>Approved, expires 2029-07-02</w:t>
            </w:r>
          </w:p>
        </w:tc>
        <w:tc>
          <w:tcPr>
            <w:tcW w:type="dxa" w:w="3410"/>
          </w:tcPr>
          <w:p>
            <w:pPr>
              <w:spacing w:after="0"/>
              <w:jc w:val="left"/>
            </w:pPr>
            <w:r>
              <w:rPr>
                <w:sz w:val="16"/>
              </w:rPr>
              <w:t>2024 Springfield, Vermont All-Hazards Mitigation Plan Update (FEMA plan 109976)</w:t>
            </w:r>
          </w:p>
        </w:tc>
        <w:tc>
          <w:tcPr>
            <w:tcW w:type="dxa" w:w="1417"/>
          </w:tcPr>
          <w:p>
            <w:pPr>
              <w:spacing w:after="0"/>
              <w:jc w:val="left"/>
            </w:pPr>
            <w:r>
              <w:rPr>
                <w:sz w:val="16"/>
              </w:rPr>
              <w:t>2024-07-03</w:t>
            </w:r>
          </w:p>
        </w:tc>
        <w:tc>
          <w:tcPr>
            <w:tcW w:type="dxa" w:w="1417"/>
          </w:tcPr>
          <w:p>
            <w:pPr>
              <w:spacing w:after="0"/>
              <w:jc w:val="left"/>
            </w:pPr>
            <w:r>
              <w:rPr>
                <w:sz w:val="16"/>
              </w:rPr>
              <w:t>2029-07-02</w:t>
            </w:r>
          </w:p>
        </w:tc>
        <w:tc>
          <w:tcPr>
            <w:tcW w:type="dxa" w:w="1222"/>
          </w:tcPr>
          <w:p>
            <w:pPr>
              <w:spacing w:after="0"/>
              <w:jc w:val="right"/>
            </w:pPr>
            <w:r>
              <w:rPr>
                <w:sz w:val="16"/>
              </w:rPr>
              <w:t>1,006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Windsor County, county-level (county FIPS 50027);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Windsor County, county-level (county FIPS 50027);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71"/>
        <w:gridCol w:w="1611"/>
        <w:gridCol w:w="1720"/>
        <w:gridCol w:w="1592"/>
        <w:gridCol w:w="2041"/>
        <w:gridCol w:w="1752"/>
        <w:gridCol w:w="1909"/>
      </w:tblGrid>
      <w:tr>
        <w:trPr>
          <w:cantSplit/>
          <w:tblHeader/>
        </w:trPr>
        <w:tc>
          <w:tcPr>
            <w:tcW w:type="dxa" w:w="1718"/>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0"/>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2041"/>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Where in the county</w:t>
            </w:r>
          </w:p>
        </w:tc>
        <w:tc>
          <w:tcPr>
            <w:tcW w:type="dxa" w:w="19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11"/>
          </w:tcPr>
          <w:p>
            <w:pPr>
              <w:spacing w:after="0"/>
              <w:jc w:val="right"/>
            </w:pPr>
            <w:r>
              <w:rPr>
                <w:sz w:val="16"/>
              </w:rPr>
              <w:t>24 records, 1997 to 2026 (24 zone-level)</w:t>
            </w:r>
          </w:p>
        </w:tc>
        <w:tc>
          <w:tcPr>
            <w:tcW w:type="dxa" w:w="1720"/>
          </w:tcPr>
          <w:p>
            <w:pPr>
              <w:spacing w:after="0"/>
              <w:jc w:val="left"/>
            </w:pPr>
            <w:r>
              <w:rPr>
                <w:sz w:val="16"/>
              </w:rPr>
              <w:t>1 day to 28 days (median 2 days); 23 with a recorded value</w:t>
            </w:r>
          </w:p>
        </w:tc>
        <w:tc>
          <w:tcPr>
            <w:tcW w:type="dxa" w:w="1592"/>
          </w:tcPr>
          <w:p>
            <w:pPr>
              <w:spacing w:after="0"/>
              <w:jc w:val="left"/>
            </w:pPr>
            <w:r>
              <w:rPr>
                <w:sz w:val="16"/>
              </w:rPr>
              <w:t>February 2015 (1 monthly summary record), zone-level</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Wind chill: in event narratives only (local data needed).</w:t>
            </w:r>
          </w:p>
        </w:tc>
      </w:tr>
      <w:tr>
        <w:trPr>
          <w:cantSplit/>
        </w:trPr>
        <w:tc>
          <w:tcPr>
            <w:tcW w:type="dxa" w:w="1718"/>
          </w:tcPr>
          <w:p>
            <w:pPr>
              <w:spacing w:after="0"/>
              <w:jc w:val="left"/>
            </w:pPr>
            <w:r>
              <w:rPr>
                <w:sz w:val="16"/>
              </w:rPr>
              <w:t>Frost/Freeze (outside NRI's Cold Wave definition)</w:t>
            </w:r>
          </w:p>
        </w:tc>
        <w:tc>
          <w:tcPr>
            <w:tcW w:type="dxa" w:w="1771"/>
          </w:tcPr>
          <w:p>
            <w:pPr>
              <w:spacing w:after="0"/>
              <w:jc w:val="left"/>
            </w:pPr>
            <w:r>
              <w:rPr>
                <w:sz w:val="16"/>
              </w:rPr>
              <w:t>crop damage</w:t>
            </w:r>
          </w:p>
        </w:tc>
        <w:tc>
          <w:tcPr>
            <w:tcW w:type="dxa" w:w="1611"/>
          </w:tcPr>
          <w:p>
            <w:pPr>
              <w:spacing w:after="0"/>
              <w:jc w:val="right"/>
            </w:pPr>
            <w:r>
              <w:rPr>
                <w:sz w:val="16"/>
              </w:rPr>
              <w:t>4 records, 2005 to 2023 (4 zone-level)</w:t>
            </w:r>
          </w:p>
        </w:tc>
        <w:tc>
          <w:tcPr>
            <w:tcW w:type="dxa" w:w="1720"/>
          </w:tcPr>
          <w:p>
            <w:pPr>
              <w:spacing w:after="0"/>
              <w:jc w:val="left"/>
            </w:pPr>
          </w:p>
        </w:tc>
        <w:tc>
          <w:tcPr>
            <w:tcW w:type="dxa" w:w="1592"/>
          </w:tcPr>
          <w:p>
            <w:pPr>
              <w:spacing w:after="0"/>
              <w:jc w:val="left"/>
            </w:pPr>
            <w:r>
              <w:rPr>
                <w:sz w:val="16"/>
              </w:rPr>
              <w:t>Frost/Freeze, 2023-05-18, $1,000,000 crop damage (2023 dollars); NWS zone VTZ021</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Temperature: in event narratives only (local data needed).</w:t>
            </w:r>
          </w:p>
        </w:tc>
      </w:tr>
      <w:tr>
        <w:trPr>
          <w:cantSplit/>
        </w:trPr>
        <w:tc>
          <w:tcPr>
            <w:tcW w:type="dxa" w:w="1718"/>
          </w:tcPr>
          <w:p>
            <w:pPr>
              <w:spacing w:after="0"/>
              <w:jc w:val="left"/>
            </w:pPr>
            <w:r>
              <w:rPr>
                <w:sz w:val="16"/>
              </w:rPr>
              <w:t>Drought</w:t>
            </w:r>
          </w:p>
        </w:tc>
        <w:tc>
          <w:tcPr>
            <w:tcW w:type="dxa" w:w="1771"/>
          </w:tcPr>
          <w:p>
            <w:pPr>
              <w:spacing w:after="0"/>
              <w:jc w:val="left"/>
            </w:pPr>
            <w:r>
              <w:rPr>
                <w:sz w:val="16"/>
              </w:rPr>
              <w:t>U.S. Drought Monitor scale (D0 to D4)</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71"/>
          </w:tcPr>
          <w:p>
            <w:pPr>
              <w:spacing w:after="0"/>
              <w:jc w:val="left"/>
            </w:pPr>
            <w:r>
              <w:rPr>
                <w:sz w:val="16"/>
              </w:rPr>
              <w:t>Modified Mercalli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771"/>
          </w:tcPr>
          <w:p>
            <w:pPr>
              <w:spacing w:after="0"/>
              <w:jc w:val="left"/>
            </w:pPr>
            <w:r>
              <w:rPr>
                <w:sz w:val="16"/>
              </w:rPr>
              <w:t>hail size (inches)</w:t>
            </w:r>
          </w:p>
        </w:tc>
        <w:tc>
          <w:tcPr>
            <w:tcW w:type="dxa" w:w="1611"/>
          </w:tcPr>
          <w:p>
            <w:pPr>
              <w:spacing w:after="0"/>
              <w:jc w:val="right"/>
            </w:pPr>
            <w:r>
              <w:rPr>
                <w:sz w:val="16"/>
              </w:rPr>
              <w:t>64 records, 1955 to 2026</w:t>
            </w:r>
          </w:p>
        </w:tc>
        <w:tc>
          <w:tcPr>
            <w:tcW w:type="dxa" w:w="1720"/>
          </w:tcPr>
          <w:p>
            <w:pPr>
              <w:spacing w:after="0"/>
              <w:jc w:val="left"/>
            </w:pPr>
            <w:r>
              <w:rPr>
                <w:sz w:val="16"/>
              </w:rPr>
              <w:t>0.75 in to 1.75 in (median 0.88 in); 63 with a recorded value</w:t>
            </w:r>
          </w:p>
        </w:tc>
        <w:tc>
          <w:tcPr>
            <w:tcW w:type="dxa" w:w="1592"/>
          </w:tcPr>
          <w:p>
            <w:pPr>
              <w:spacing w:after="0"/>
              <w:jc w:val="left"/>
            </w:pPr>
            <w:r>
              <w:rPr>
                <w:sz w:val="16"/>
              </w:rPr>
              <w:t>1.75 in hail, 2012-05-29; same size also recorded on 1955-07-23, 1975-08-03, 1980-08-01, 2012-05-28</w:t>
            </w:r>
          </w:p>
        </w:tc>
        <w:tc>
          <w:tcPr>
            <w:tcW w:type="dxa" w:w="2041"/>
          </w:tcPr>
          <w:p>
            <w:pPr>
              <w:spacing w:after="0"/>
              <w:jc w:val="left"/>
            </w:pPr>
            <w:r>
              <w:rPr>
                <w:sz w:val="16"/>
              </w:rPr>
              <w:t>Hail, 2017-07-17, $5,000 property; $0 crops (2017 dollars)</w:t>
            </w:r>
          </w:p>
        </w:tc>
        <w:tc>
          <w:tcPr>
            <w:tcW w:type="dxa" w:w="1752"/>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909"/>
          </w:tcPr>
          <w:p>
            <w:pPr>
              <w:spacing w:after="0"/>
              <w:jc w:val="left"/>
            </w:pPr>
          </w:p>
        </w:tc>
      </w:tr>
      <w:tr>
        <w:trPr>
          <w:cantSplit/>
        </w:trPr>
        <w:tc>
          <w:tcPr>
            <w:tcW w:type="dxa" w:w="1718"/>
          </w:tcPr>
          <w:p>
            <w:pPr>
              <w:spacing w:after="0"/>
              <w:jc w:val="left"/>
            </w:pPr>
            <w:r>
              <w:rPr>
                <w:sz w:val="16"/>
              </w:rPr>
              <w:t>Excessive Heat, Heat</w:t>
            </w:r>
          </w:p>
        </w:tc>
        <w:tc>
          <w:tcPr>
            <w:tcW w:type="dxa" w:w="1771"/>
          </w:tcPr>
          <w:p>
            <w:pPr>
              <w:spacing w:after="0"/>
              <w:jc w:val="left"/>
            </w:pPr>
            <w:r>
              <w:rPr>
                <w:sz w:val="16"/>
              </w:rPr>
              <w:t>heat index (in event narratives)</w:t>
            </w:r>
          </w:p>
        </w:tc>
        <w:tc>
          <w:tcPr>
            <w:tcW w:type="dxa" w:w="1611"/>
          </w:tcPr>
          <w:p>
            <w:pPr>
              <w:spacing w:after="0"/>
              <w:jc w:val="right"/>
            </w:pPr>
            <w:r>
              <w:rPr>
                <w:sz w:val="16"/>
              </w:rPr>
              <w:t>7 records, 2006 to 2025 (7 zone-level)</w:t>
            </w:r>
          </w:p>
        </w:tc>
        <w:tc>
          <w:tcPr>
            <w:tcW w:type="dxa" w:w="1720"/>
          </w:tcPr>
          <w:p>
            <w:pPr>
              <w:spacing w:after="0"/>
              <w:jc w:val="left"/>
            </w:pPr>
            <w:r>
              <w:rPr>
                <w:sz w:val="16"/>
              </w:rPr>
              <w:t>1 day to 6 days (median 2 days); 5 with a recorded value</w:t>
            </w:r>
          </w:p>
        </w:tc>
        <w:tc>
          <w:tcPr>
            <w:tcW w:type="dxa" w:w="1592"/>
          </w:tcPr>
          <w:p>
            <w:pPr>
              <w:spacing w:after="0"/>
              <w:jc w:val="left"/>
            </w:pPr>
            <w:r>
              <w:rPr>
                <w:sz w:val="16"/>
              </w:rPr>
              <w:t>6 consecutive days, 2020-06-18 to 2020-06-23, zone-level</w:t>
            </w:r>
          </w:p>
        </w:tc>
        <w:tc>
          <w:tcPr>
            <w:tcW w:type="dxa" w:w="2041"/>
          </w:tcPr>
          <w:p>
            <w:pPr>
              <w:spacing w:after="0"/>
              <w:jc w:val="left"/>
            </w:pPr>
            <w:r>
              <w:rPr>
                <w:sz w:val="16"/>
              </w:rPr>
              <w:t>Heat, 2012-03-17, $0 property; $1,000,000 crops, reported for the zone (2012 dollars)</w:t>
            </w:r>
          </w:p>
        </w:tc>
        <w:tc>
          <w:tcPr>
            <w:tcW w:type="dxa" w:w="1752"/>
          </w:tcPr>
          <w:p>
            <w:pPr>
              <w:spacing w:after="0"/>
              <w:jc w:val="left"/>
            </w:pPr>
            <w:r>
              <w:rPr>
                <w:sz w:val="16"/>
              </w:rPr>
              <w:t>Countywide (zone-level records).</w:t>
            </w:r>
          </w:p>
        </w:tc>
        <w:tc>
          <w:tcPr>
            <w:tcW w:type="dxa" w:w="190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8"/>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Ice Storm</w:t>
            </w:r>
          </w:p>
        </w:tc>
        <w:tc>
          <w:tcPr>
            <w:tcW w:type="dxa" w:w="1771"/>
          </w:tcPr>
          <w:p>
            <w:pPr>
              <w:spacing w:after="0"/>
              <w:jc w:val="left"/>
            </w:pPr>
            <w:r>
              <w:rPr>
                <w:sz w:val="16"/>
              </w:rPr>
              <w:t>Sperry-Piltz ice scale (local data)</w:t>
            </w:r>
          </w:p>
        </w:tc>
        <w:tc>
          <w:tcPr>
            <w:tcW w:type="dxa" w:w="1611"/>
          </w:tcPr>
          <w:p>
            <w:pPr>
              <w:spacing w:after="0"/>
              <w:jc w:val="right"/>
            </w:pPr>
            <w:r>
              <w:rPr>
                <w:sz w:val="16"/>
              </w:rPr>
              <w:t>2 records, 1998 to 2025 (2 zone-level)</w:t>
            </w:r>
          </w:p>
        </w:tc>
        <w:tc>
          <w:tcPr>
            <w:tcW w:type="dxa" w:w="1720"/>
          </w:tcPr>
          <w:p>
            <w:pPr>
              <w:spacing w:after="0"/>
              <w:jc w:val="left"/>
            </w:pPr>
          </w:p>
        </w:tc>
        <w:tc>
          <w:tcPr>
            <w:tcW w:type="dxa" w:w="1592"/>
          </w:tcPr>
          <w:p>
            <w:pPr>
              <w:spacing w:after="0"/>
              <w:jc w:val="left"/>
            </w:pPr>
            <w:r>
              <w:rPr>
                <w:sz w:val="16"/>
              </w:rPr>
              <w:t>Ice Storm, 1998-01-06, $80,000 property; crops not reported (1998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Ice thickness: in event narratives only (local data needed).</w:t>
            </w:r>
          </w:p>
        </w:tc>
      </w:tr>
      <w:tr>
        <w:trPr>
          <w:cantSplit/>
        </w:trPr>
        <w:tc>
          <w:tcPr>
            <w:tcW w:type="dxa" w:w="1718"/>
          </w:tcPr>
          <w:p>
            <w:pPr>
              <w:spacing w:after="0"/>
              <w:jc w:val="left"/>
            </w:pPr>
            <w:r>
              <w:rPr>
                <w:sz w:val="16"/>
              </w:rPr>
              <w:t>Flash Flood, Flood, Lakeshore Flood</w:t>
            </w:r>
          </w:p>
        </w:tc>
        <w:tc>
          <w:tcPr>
            <w:tcW w:type="dxa" w:w="1771"/>
          </w:tcPr>
          <w:p>
            <w:pPr>
              <w:spacing w:after="0"/>
              <w:jc w:val="left"/>
            </w:pPr>
            <w:r>
              <w:rPr>
                <w:sz w:val="16"/>
              </w:rPr>
              <w:t>damage and flood days (flood depth: FIRM)</w:t>
            </w:r>
          </w:p>
        </w:tc>
        <w:tc>
          <w:tcPr>
            <w:tcW w:type="dxa" w:w="1611"/>
          </w:tcPr>
          <w:p>
            <w:pPr>
              <w:spacing w:after="0"/>
              <w:jc w:val="right"/>
            </w:pPr>
            <w:r>
              <w:rPr>
                <w:sz w:val="16"/>
              </w:rPr>
              <w:t>65 records, 1996 to 2025 (10 zone-level)</w:t>
            </w:r>
          </w:p>
        </w:tc>
        <w:tc>
          <w:tcPr>
            <w:tcW w:type="dxa" w:w="1720"/>
          </w:tcPr>
          <w:p>
            <w:pPr>
              <w:spacing w:after="0"/>
              <w:jc w:val="left"/>
            </w:pPr>
          </w:p>
        </w:tc>
        <w:tc>
          <w:tcPr>
            <w:tcW w:type="dxa" w:w="1592"/>
          </w:tcPr>
          <w:p>
            <w:pPr>
              <w:spacing w:after="0"/>
              <w:jc w:val="left"/>
            </w:pPr>
            <w:r>
              <w:rPr>
                <w:sz w:val="16"/>
              </w:rPr>
              <w:t>Flash Flood, 2011-08-28, $100,000,000 property; $5,000,000 crops (2011 dollars)</w:t>
            </w:r>
          </w:p>
        </w:tc>
        <w:tc>
          <w:tcPr>
            <w:tcW w:type="dxa" w:w="2041"/>
          </w:tcPr>
          <w:p>
            <w:pPr>
              <w:spacing w:after="0"/>
              <w:jc w:val="left"/>
            </w:pPr>
          </w:p>
        </w:tc>
        <w:tc>
          <w:tcPr>
            <w:tcW w:type="dxa" w:w="1752"/>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9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11"/>
          </w:tcPr>
          <w:p>
            <w:pPr>
              <w:spacing w:after="0"/>
              <w:jc w:val="right"/>
            </w:pPr>
            <w:r>
              <w:rPr>
                <w:sz w:val="16"/>
              </w:rPr>
              <w:t>7 records, 2000 to 2007</w:t>
            </w:r>
          </w:p>
        </w:tc>
        <w:tc>
          <w:tcPr>
            <w:tcW w:type="dxa" w:w="1720"/>
          </w:tcPr>
          <w:p>
            <w:pPr>
              <w:spacing w:after="0"/>
              <w:jc w:val="left"/>
            </w:pPr>
          </w:p>
        </w:tc>
        <w:tc>
          <w:tcPr>
            <w:tcW w:type="dxa" w:w="1592"/>
          </w:tcPr>
          <w:p>
            <w:pPr>
              <w:spacing w:after="0"/>
              <w:jc w:val="left"/>
            </w:pPr>
            <w:r>
              <w:rPr>
                <w:sz w:val="16"/>
              </w:rPr>
              <w:t>Lightning, 2002-07-04, damage not reported, 1 direct death</w:t>
            </w:r>
          </w:p>
        </w:tc>
        <w:tc>
          <w:tcPr>
            <w:tcW w:type="dxa" w:w="2041"/>
          </w:tcPr>
          <w:p>
            <w:pPr>
              <w:spacing w:after="0"/>
              <w:jc w:val="left"/>
            </w:pPr>
            <w:r>
              <w:rPr>
                <w:sz w:val="16"/>
              </w:rPr>
              <w:t>Lightning, 2002-06-27, $50,000 property; crops not reported (2002 dollars)</w:t>
            </w:r>
          </w:p>
        </w:tc>
        <w:tc>
          <w:tcPr>
            <w:tcW w:type="dxa" w:w="1752"/>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909"/>
          </w:tcPr>
          <w:p>
            <w:pPr>
              <w:spacing w:after="0"/>
              <w:jc w:val="left"/>
            </w:pPr>
            <w:r>
              <w:rPr>
                <w:sz w:val="16"/>
              </w:rPr>
              <w:t>Storm Events lists lightning with damage or casualties; physical measure in event narratives only (local data needed).</w:t>
            </w:r>
          </w:p>
        </w:tc>
      </w:tr>
      <w:tr>
        <w:trPr>
          <w:cantSplit/>
        </w:trPr>
        <w:tc>
          <w:tcPr>
            <w:tcW w:type="dxa" w:w="1718"/>
          </w:tcPr>
          <w:p>
            <w:pPr>
              <w:spacing w:after="0"/>
              <w:jc w:val="left"/>
            </w:pPr>
            <w:r>
              <w:rPr>
                <w:sz w:val="16"/>
              </w:rPr>
              <w:t>High Wind and Strong Wind (outside NRI's Strong Wind definition)</w:t>
            </w:r>
          </w:p>
        </w:tc>
        <w:tc>
          <w:tcPr>
            <w:tcW w:type="dxa" w:w="1771"/>
          </w:tcPr>
          <w:p>
            <w:pPr>
              <w:spacing w:after="0"/>
              <w:jc w:val="left"/>
            </w:pPr>
            <w:r>
              <w:rPr>
                <w:sz w:val="16"/>
              </w:rPr>
              <w:t>wind speed (kt and mph)</w:t>
            </w:r>
          </w:p>
        </w:tc>
        <w:tc>
          <w:tcPr>
            <w:tcW w:type="dxa" w:w="1611"/>
          </w:tcPr>
          <w:p>
            <w:pPr>
              <w:spacing w:after="0"/>
              <w:jc w:val="right"/>
            </w:pPr>
            <w:r>
              <w:rPr>
                <w:sz w:val="16"/>
              </w:rPr>
              <w:t>41 records, 1996 to 2026 (41 zone-level)</w:t>
            </w:r>
          </w:p>
        </w:tc>
        <w:tc>
          <w:tcPr>
            <w:tcW w:type="dxa" w:w="1720"/>
          </w:tcPr>
          <w:p>
            <w:pPr>
              <w:spacing w:after="0"/>
              <w:jc w:val="left"/>
            </w:pPr>
            <w:r>
              <w:rPr>
                <w:sz w:val="16"/>
              </w:rPr>
              <w:t>30 kt (35 mph) to 50 kt (58 mph) (median 41 kt (47 mph)); 38 with a recorded value</w:t>
            </w:r>
          </w:p>
        </w:tc>
        <w:tc>
          <w:tcPr>
            <w:tcW w:type="dxa" w:w="1592"/>
          </w:tcPr>
          <w:p>
            <w:pPr>
              <w:spacing w:after="0"/>
              <w:jc w:val="left"/>
            </w:pPr>
            <w:r>
              <w:rPr>
                <w:sz w:val="16"/>
              </w:rPr>
              <w:t>50 kt (58 mph) estimated gust, High Wind, 2022-12-23; same speed and measurement basis also recorded on 2010-02-26; NWS zone VTZ020</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p>
        </w:tc>
      </w:tr>
      <w:tr>
        <w:trPr>
          <w:cantSplit/>
        </w:trPr>
        <w:tc>
          <w:tcPr>
            <w:tcW w:type="dxa" w:w="1718"/>
          </w:tcPr>
          <w:p>
            <w:pPr>
              <w:spacing w:after="0"/>
              <w:jc w:val="left"/>
            </w:pPr>
            <w:r>
              <w:rPr>
                <w:sz w:val="16"/>
              </w:rPr>
              <w:t>Thunderstorm Wind</w:t>
            </w:r>
          </w:p>
        </w:tc>
        <w:tc>
          <w:tcPr>
            <w:tcW w:type="dxa" w:w="1771"/>
          </w:tcPr>
          <w:p>
            <w:pPr>
              <w:spacing w:after="0"/>
              <w:jc w:val="left"/>
            </w:pPr>
            <w:r>
              <w:rPr>
                <w:sz w:val="16"/>
              </w:rPr>
              <w:t>wind speed (kt and mph)</w:t>
            </w:r>
          </w:p>
        </w:tc>
        <w:tc>
          <w:tcPr>
            <w:tcW w:type="dxa" w:w="1611"/>
          </w:tcPr>
          <w:p>
            <w:pPr>
              <w:spacing w:after="0"/>
              <w:jc w:val="right"/>
            </w:pPr>
            <w:r>
              <w:rPr>
                <w:sz w:val="16"/>
              </w:rPr>
              <w:t>196 records, 1957 to 2026</w:t>
            </w:r>
          </w:p>
        </w:tc>
        <w:tc>
          <w:tcPr>
            <w:tcW w:type="dxa" w:w="1720"/>
          </w:tcPr>
          <w:p>
            <w:pPr>
              <w:spacing w:after="0"/>
              <w:jc w:val="left"/>
            </w:pPr>
            <w:r>
              <w:rPr>
                <w:sz w:val="16"/>
              </w:rPr>
              <w:t>50 kt (58 mph) to 100 kt (115 mph) (median 50 kt (58 mph)); 135 with a recorded value</w:t>
            </w:r>
          </w:p>
        </w:tc>
        <w:tc>
          <w:tcPr>
            <w:tcW w:type="dxa" w:w="1592"/>
          </w:tcPr>
          <w:p>
            <w:pPr>
              <w:spacing w:after="0"/>
              <w:jc w:val="left"/>
            </w:pPr>
            <w:r>
              <w:rPr>
                <w:sz w:val="16"/>
              </w:rPr>
              <w:t>100 kt (115 mph) estimated gust, Thunderstorm Wind, 2003-07-21, 1 direct injury</w:t>
            </w:r>
          </w:p>
        </w:tc>
        <w:tc>
          <w:tcPr>
            <w:tcW w:type="dxa" w:w="2041"/>
          </w:tcPr>
          <w:p>
            <w:pPr>
              <w:spacing w:after="0"/>
              <w:jc w:val="left"/>
            </w:pPr>
            <w:r>
              <w:rPr>
                <w:sz w:val="16"/>
              </w:rPr>
              <w:t>Thunderstorm Wind, 2021-06-30, $150,000 property; $0 crops (2021 dollars)</w:t>
            </w:r>
          </w:p>
        </w:tc>
        <w:tc>
          <w:tcPr>
            <w:tcW w:type="dxa" w:w="1752"/>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909"/>
          </w:tcPr>
          <w:p>
            <w:pPr>
              <w:spacing w:after="0"/>
              <w:jc w:val="left"/>
            </w:pPr>
          </w:p>
        </w:tc>
      </w:tr>
      <w:tr>
        <w:trPr>
          <w:cantSplit/>
        </w:trPr>
        <w:tc>
          <w:tcPr>
            <w:tcW w:type="dxa" w:w="1718"/>
          </w:tcPr>
          <w:p>
            <w:pPr>
              <w:spacing w:after="0"/>
              <w:jc w:val="left"/>
            </w:pPr>
            <w:r>
              <w:rPr>
                <w:sz w:val="16"/>
              </w:rPr>
              <w:t>Tornado</w:t>
            </w:r>
          </w:p>
        </w:tc>
        <w:tc>
          <w:tcPr>
            <w:tcW w:type="dxa" w:w="1771"/>
          </w:tcPr>
          <w:p>
            <w:pPr>
              <w:spacing w:after="0"/>
              <w:jc w:val="left"/>
            </w:pPr>
            <w:r>
              <w:rPr>
                <w:sz w:val="16"/>
              </w:rPr>
              <w:t>Enhanced Fujita (Fujita before Feb 2007)</w:t>
            </w:r>
          </w:p>
        </w:tc>
        <w:tc>
          <w:tcPr>
            <w:tcW w:type="dxa" w:w="1611"/>
          </w:tcPr>
          <w:p>
            <w:pPr>
              <w:spacing w:after="0"/>
              <w:jc w:val="right"/>
            </w:pPr>
            <w:r>
              <w:rPr>
                <w:sz w:val="16"/>
              </w:rPr>
              <w:t>5 records, 1955 to 2026</w:t>
            </w:r>
          </w:p>
        </w:tc>
        <w:tc>
          <w:tcPr>
            <w:tcW w:type="dxa" w:w="1720"/>
          </w:tcPr>
          <w:p>
            <w:pPr>
              <w:spacing w:after="0"/>
              <w:jc w:val="left"/>
            </w:pPr>
            <w:r>
              <w:rPr>
                <w:sz w:val="16"/>
              </w:rPr>
              <w:t>F/EF1 to F/EF2 (median F/EF2); 5 with a recorded value</w:t>
            </w:r>
          </w:p>
        </w:tc>
        <w:tc>
          <w:tcPr>
            <w:tcW w:type="dxa" w:w="1592"/>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41"/>
          </w:tcPr>
          <w:p>
            <w:pPr>
              <w:spacing w:after="0"/>
              <w:jc w:val="left"/>
            </w:pPr>
            <w:r>
              <w:rPr>
                <w:sz w:val="16"/>
              </w:rPr>
              <w:t>Tornado, 2026-06-18, $100,000 property; $0 crops (2026 dollars)</w:t>
            </w:r>
          </w:p>
        </w:tc>
        <w:tc>
          <w:tcPr>
            <w:tcW w:type="dxa" w:w="1752"/>
          </w:tcPr>
          <w:p>
            <w:pPr>
              <w:spacing w:after="0"/>
              <w:jc w:val="left"/>
            </w:pPr>
            <w:r>
              <w:rPr>
                <w:sz w:val="16"/>
              </w:rPr>
              <w:t>Event records naming places in the county: Bridgewater town (1 record), Woodstock town (1 record).</w:t>
            </w:r>
          </w:p>
        </w:tc>
        <w:tc>
          <w:tcPr>
            <w:tcW w:type="dxa" w:w="19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Wildfire</w:t>
            </w:r>
          </w:p>
        </w:tc>
        <w:tc>
          <w:tcPr>
            <w:tcW w:type="dxa" w:w="1771"/>
          </w:tcPr>
          <w:p>
            <w:pPr>
              <w:spacing w:after="0"/>
              <w:jc w:val="left"/>
            </w:pPr>
            <w:r>
              <w:rPr>
                <w:sz w:val="16"/>
              </w:rPr>
              <w:t>acres burned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Acres burned: in event narratives only (local data needed).</w:t>
            </w:r>
          </w:p>
        </w:tc>
      </w:tr>
      <w:tr>
        <w:trPr>
          <w:cantSplit/>
        </w:trPr>
        <w:tc>
          <w:tcPr>
            <w:tcW w:type="dxa" w:w="1718"/>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 data)</w:t>
            </w:r>
          </w:p>
        </w:tc>
        <w:tc>
          <w:tcPr>
            <w:tcW w:type="dxa" w:w="1611"/>
          </w:tcPr>
          <w:p>
            <w:pPr>
              <w:spacing w:after="0"/>
              <w:jc w:val="right"/>
            </w:pPr>
            <w:r>
              <w:rPr>
                <w:sz w:val="16"/>
              </w:rPr>
              <w:t>273 records, 1996 to 2026 (273 zone-level)</w:t>
            </w:r>
          </w:p>
        </w:tc>
        <w:tc>
          <w:tcPr>
            <w:tcW w:type="dxa" w:w="1720"/>
          </w:tcPr>
          <w:p>
            <w:pPr>
              <w:spacing w:after="0"/>
              <w:jc w:val="left"/>
            </w:pPr>
          </w:p>
        </w:tc>
        <w:tc>
          <w:tcPr>
            <w:tcW w:type="dxa" w:w="1592"/>
          </w:tcPr>
          <w:p>
            <w:pPr>
              <w:spacing w:after="0"/>
              <w:jc w:val="left"/>
            </w:pPr>
            <w:r>
              <w:rPr>
                <w:sz w:val="16"/>
              </w:rPr>
              <w:t>Winter Storm, 2010-02-23, $1,000,000 property; $0 crops (2010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Windsor County, county-level (county FIPS 50027); scope: declarations, statewide block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7</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18</w:t>
            </w:r>
          </w:p>
        </w:tc>
        <w:tc>
          <w:tcPr>
            <w:tcW w:type="dxa" w:w="2116"/>
          </w:tcPr>
          <w:p>
            <w:pPr>
              <w:spacing w:after="0"/>
              <w:jc w:val="right"/>
            </w:pPr>
            <w:r>
              <w:rPr>
                <w:sz w:val="16"/>
              </w:rPr>
              <w:t>10</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19"/>
        <w:gridCol w:w="1823"/>
        <w:gridCol w:w="959"/>
        <w:gridCol w:w="2761"/>
        <w:gridCol w:w="1658"/>
        <w:gridCol w:w="30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19"/>
            <w:shd w:val="clear" w:color="auto" w:fill="E8E8E8"/>
          </w:tcPr>
          <w:p>
            <w:pPr>
              <w:spacing w:after="0"/>
              <w:jc w:val="left"/>
            </w:pPr>
            <w:r>
              <w:rPr>
                <w:b/>
                <w:sz w:val="16"/>
              </w:rPr>
              <w:t>Magnitude or extent</w:t>
            </w:r>
          </w:p>
        </w:tc>
        <w:tc>
          <w:tcPr>
            <w:tcW w:type="dxa" w:w="1823"/>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1"/>
            <w:shd w:val="clear" w:color="auto" w:fill="E8E8E8"/>
          </w:tcPr>
          <w:p>
            <w:pPr>
              <w:spacing w:after="0"/>
              <w:jc w:val="left"/>
            </w:pPr>
            <w:r>
              <w:rPr>
                <w:b/>
                <w:sz w:val="16"/>
              </w:rPr>
              <w:t>Location</w:t>
            </w:r>
          </w:p>
        </w:tc>
        <w:tc>
          <w:tcPr>
            <w:tcW w:type="dxa" w:w="1658"/>
            <w:shd w:val="clear" w:color="auto" w:fill="E8E8E8"/>
          </w:tcPr>
          <w:p>
            <w:pPr>
              <w:spacing w:after="0"/>
              <w:jc w:val="left"/>
            </w:pPr>
            <w:r>
              <w:rPr>
                <w:b/>
                <w:sz w:val="16"/>
              </w:rPr>
              <w:t>Flags</w:t>
            </w:r>
          </w:p>
        </w:tc>
        <w:tc>
          <w:tcPr>
            <w:tcW w:type="dxa" w:w="30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619"/>
          </w:tcPr>
          <w:p>
            <w:pPr>
              <w:spacing w:after="0"/>
              <w:jc w:val="left"/>
            </w:pPr>
          </w:p>
        </w:tc>
        <w:tc>
          <w:tcPr>
            <w:tcW w:type="dxa" w:w="1823"/>
          </w:tcPr>
          <w:p>
            <w:pPr>
              <w:spacing w:after="0"/>
              <w:jc w:val="left"/>
            </w:pPr>
            <w:r>
              <w:rPr>
                <w:sz w:val="16"/>
              </w:rPr>
              <w:t>$25,000,000 property; $0 crops (2023 dollars)</w:t>
            </w:r>
          </w:p>
        </w:tc>
        <w:tc>
          <w:tcPr>
            <w:tcW w:type="dxa" w:w="959"/>
          </w:tcPr>
          <w:p>
            <w:pPr>
              <w:spacing w:after="0"/>
              <w:jc w:val="right"/>
            </w:pPr>
            <w:r>
              <w:rPr>
                <w:sz w:val="16"/>
              </w:rPr>
              <w:t>1, 0</w:t>
            </w:r>
          </w:p>
        </w:tc>
        <w:tc>
          <w:tcPr>
            <w:tcW w:type="dxa" w:w="2761"/>
          </w:tcPr>
          <w:p>
            <w:pPr>
              <w:spacing w:after="0"/>
              <w:jc w:val="left"/>
            </w:pPr>
            <w:r>
              <w:rPr>
                <w:sz w:val="16"/>
              </w:rPr>
              <w:t>CHESTER to EAST BETHEL</w:t>
            </w:r>
          </w:p>
        </w:tc>
        <w:tc>
          <w:tcPr>
            <w:tcW w:type="dxa" w:w="1658"/>
          </w:tcPr>
          <w:p>
            <w:pPr>
              <w:spacing w:after="0"/>
              <w:jc w:val="left"/>
            </w:pPr>
            <w:r>
              <w:rPr>
                <w:sz w:val="16"/>
              </w:rPr>
              <w:t>in the 12 months before plan approval; within last 5 years</w:t>
            </w: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19"/>
          </w:tcPr>
          <w:p>
            <w:pPr>
              <w:spacing w:after="0"/>
              <w:jc w:val="left"/>
            </w:pPr>
          </w:p>
        </w:tc>
        <w:tc>
          <w:tcPr>
            <w:tcW w:type="dxa" w:w="1823"/>
          </w:tcPr>
          <w:p>
            <w:pPr>
              <w:spacing w:after="0"/>
              <w:jc w:val="left"/>
            </w:pPr>
            <w:r>
              <w:rPr>
                <w:sz w:val="16"/>
              </w:rPr>
              <w:t>$0 property; $1,000,000 crops, reported for the zone (2023 dollars)</w:t>
            </w:r>
          </w:p>
        </w:tc>
        <w:tc>
          <w:tcPr>
            <w:tcW w:type="dxa" w:w="959"/>
          </w:tcPr>
          <w:p>
            <w:pPr>
              <w:spacing w:after="0"/>
              <w:jc w:val="right"/>
            </w:pPr>
            <w:r>
              <w:rPr>
                <w:sz w:val="16"/>
              </w:rPr>
              <w:t>0, 0</w:t>
            </w:r>
          </w:p>
        </w:tc>
        <w:tc>
          <w:tcPr>
            <w:tcW w:type="dxa" w:w="2761"/>
          </w:tcPr>
          <w:p>
            <w:pPr>
              <w:spacing w:after="0"/>
              <w:jc w:val="left"/>
            </w:pPr>
            <w:r>
              <w:rPr>
                <w:sz w:val="16"/>
              </w:rPr>
              <w:t>NWS zone VTZ021 (EASTERN WINDSOR COUNTY), zone-level</w:t>
            </w:r>
          </w:p>
        </w:tc>
        <w:tc>
          <w:tcPr>
            <w:tcW w:type="dxa" w:w="1658"/>
          </w:tcPr>
          <w:p>
            <w:pPr>
              <w:spacing w:after="0"/>
              <w:jc w:val="left"/>
            </w:pPr>
            <w:r>
              <w:rPr>
                <w:sz w:val="16"/>
              </w:rPr>
              <w:t>within last 5 years</w:t>
            </w:r>
          </w:p>
        </w:tc>
        <w:tc>
          <w:tcPr>
            <w:tcW w:type="dxa" w:w="303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619"/>
          </w:tcPr>
          <w:p>
            <w:pPr>
              <w:spacing w:after="0"/>
              <w:jc w:val="left"/>
            </w:pPr>
            <w:r>
              <w:rPr>
                <w:sz w:val="16"/>
              </w:rPr>
              <w:t>50 kt (58 mph) estimated gust</w:t>
            </w:r>
          </w:p>
        </w:tc>
        <w:tc>
          <w:tcPr>
            <w:tcW w:type="dxa" w:w="1823"/>
          </w:tcPr>
          <w:p>
            <w:pPr>
              <w:spacing w:after="0"/>
              <w:jc w:val="left"/>
            </w:pPr>
            <w:r>
              <w:rPr>
                <w:sz w:val="16"/>
              </w:rPr>
              <w:t>$150,000 property; $0 crops, reported for the zone (2022 dollars)</w:t>
            </w:r>
          </w:p>
        </w:tc>
        <w:tc>
          <w:tcPr>
            <w:tcW w:type="dxa" w:w="959"/>
          </w:tcPr>
          <w:p>
            <w:pPr>
              <w:spacing w:after="0"/>
              <w:jc w:val="right"/>
            </w:pPr>
            <w:r>
              <w:rPr>
                <w:sz w:val="16"/>
              </w:rPr>
              <w:t>0, 0</w:t>
            </w:r>
          </w:p>
        </w:tc>
        <w:tc>
          <w:tcPr>
            <w:tcW w:type="dxa" w:w="2761"/>
          </w:tcPr>
          <w:p>
            <w:pPr>
              <w:spacing w:after="0"/>
              <w:jc w:val="left"/>
            </w:pPr>
            <w:r>
              <w:rPr>
                <w:sz w:val="16"/>
              </w:rPr>
              <w:t>NWS zone VTZ020 (WESTERN WINDSOR COUNTY), zone-level</w:t>
            </w:r>
          </w:p>
        </w:tc>
        <w:tc>
          <w:tcPr>
            <w:tcW w:type="dxa" w:w="1658"/>
          </w:tcPr>
          <w:p>
            <w:pPr>
              <w:spacing w:after="0"/>
              <w:jc w:val="left"/>
            </w:pPr>
            <w:r>
              <w:rPr>
                <w:sz w:val="16"/>
              </w:rPr>
              <w:t>within last 5 years</w:t>
            </w:r>
          </w:p>
        </w:tc>
        <w:tc>
          <w:tcPr>
            <w:tcW w:type="dxa" w:w="3039"/>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19"/>
          </w:tcPr>
          <w:p>
            <w:pPr>
              <w:spacing w:after="0"/>
              <w:jc w:val="left"/>
            </w:pPr>
          </w:p>
        </w:tc>
        <w:tc>
          <w:tcPr>
            <w:tcW w:type="dxa" w:w="1823"/>
          </w:tcPr>
          <w:p>
            <w:pPr>
              <w:spacing w:after="0"/>
              <w:jc w:val="left"/>
            </w:pPr>
            <w:r>
              <w:rPr>
                <w:sz w:val="16"/>
              </w:rPr>
              <w:t>$0 property; $0 crops, reported for the zone (2020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19"/>
          </w:tcPr>
          <w:p>
            <w:pPr>
              <w:spacing w:after="0"/>
              <w:jc w:val="left"/>
            </w:pPr>
          </w:p>
        </w:tc>
        <w:tc>
          <w:tcPr>
            <w:tcW w:type="dxa" w:w="1823"/>
          </w:tcPr>
          <w:p>
            <w:pPr>
              <w:spacing w:after="0"/>
              <w:jc w:val="left"/>
            </w:pPr>
            <w:r>
              <w:rPr>
                <w:sz w:val="16"/>
              </w:rPr>
              <w:t>$0 property; $0 crops, reported for the zone (2015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619"/>
          </w:tcPr>
          <w:p>
            <w:pPr>
              <w:spacing w:after="0"/>
              <w:jc w:val="left"/>
            </w:pPr>
          </w:p>
        </w:tc>
        <w:tc>
          <w:tcPr>
            <w:tcW w:type="dxa" w:w="1823"/>
          </w:tcPr>
          <w:p>
            <w:pPr>
              <w:spacing w:after="0"/>
              <w:jc w:val="left"/>
            </w:pPr>
            <w:r>
              <w:rPr>
                <w:sz w:val="16"/>
              </w:rPr>
              <w:t>$100,000,000 property; $5,000,000 crops (2011 dollars)</w:t>
            </w:r>
          </w:p>
        </w:tc>
        <w:tc>
          <w:tcPr>
            <w:tcW w:type="dxa" w:w="959"/>
          </w:tcPr>
          <w:p>
            <w:pPr>
              <w:spacing w:after="0"/>
              <w:jc w:val="right"/>
            </w:pPr>
            <w:r>
              <w:rPr>
                <w:sz w:val="16"/>
              </w:rPr>
              <w:t>0, 0</w:t>
            </w:r>
          </w:p>
        </w:tc>
        <w:tc>
          <w:tcPr>
            <w:tcW w:type="dxa" w:w="2761"/>
          </w:tcPr>
          <w:p>
            <w:pPr>
              <w:spacing w:after="0"/>
              <w:jc w:val="left"/>
            </w:pPr>
            <w:r>
              <w:rPr>
                <w:sz w:val="16"/>
              </w:rPr>
              <w:t>GOULDS MILL to POMPANOOSUC</w:t>
            </w:r>
          </w:p>
        </w:tc>
        <w:tc>
          <w:tcPr>
            <w:tcW w:type="dxa" w:w="1658"/>
          </w:tcPr>
          <w:p>
            <w:pPr>
              <w:spacing w:after="0"/>
              <w:jc w:val="left"/>
            </w:pPr>
          </w:p>
        </w:tc>
        <w:tc>
          <w:tcPr>
            <w:tcW w:type="dxa" w:w="30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619"/>
          </w:tcPr>
          <w:p>
            <w:pPr>
              <w:spacing w:after="0"/>
              <w:jc w:val="left"/>
            </w:pPr>
          </w:p>
        </w:tc>
        <w:tc>
          <w:tcPr>
            <w:tcW w:type="dxa" w:w="1823"/>
          </w:tcPr>
          <w:p>
            <w:pPr>
              <w:spacing w:after="0"/>
              <w:jc w:val="left"/>
            </w:pPr>
            <w:r>
              <w:rPr>
                <w:sz w:val="16"/>
              </w:rPr>
              <w:t>$0 property; $0 crops, reported for the zone (2011 dollars)</w:t>
            </w:r>
          </w:p>
        </w:tc>
        <w:tc>
          <w:tcPr>
            <w:tcW w:type="dxa" w:w="959"/>
          </w:tcPr>
          <w:p>
            <w:pPr>
              <w:spacing w:after="0"/>
              <w:jc w:val="right"/>
            </w:pPr>
            <w:r>
              <w:rPr>
                <w:sz w:val="16"/>
              </w:rPr>
              <w:t>1, 0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619"/>
          </w:tcPr>
          <w:p>
            <w:pPr>
              <w:spacing w:after="0"/>
              <w:jc w:val="left"/>
            </w:pPr>
            <w:r>
              <w:rPr>
                <w:sz w:val="16"/>
              </w:rPr>
              <w:t>100 kt (115 mph) estimated gust</w:t>
            </w:r>
          </w:p>
        </w:tc>
        <w:tc>
          <w:tcPr>
            <w:tcW w:type="dxa" w:w="1823"/>
          </w:tcPr>
          <w:p>
            <w:pPr>
              <w:spacing w:after="0"/>
              <w:jc w:val="left"/>
            </w:pPr>
            <w:r>
              <w:rPr>
                <w:sz w:val="16"/>
              </w:rPr>
              <w:t>$100,000 property; crops not reported (2003 dollars)</w:t>
            </w:r>
          </w:p>
        </w:tc>
        <w:tc>
          <w:tcPr>
            <w:tcW w:type="dxa" w:w="959"/>
          </w:tcPr>
          <w:p>
            <w:pPr>
              <w:spacing w:after="0"/>
              <w:jc w:val="right"/>
            </w:pPr>
            <w:r>
              <w:rPr>
                <w:sz w:val="16"/>
              </w:rPr>
              <w:t>0, 1</w:t>
            </w:r>
          </w:p>
        </w:tc>
        <w:tc>
          <w:tcPr>
            <w:tcW w:type="dxa" w:w="2761"/>
          </w:tcPr>
          <w:p>
            <w:pPr>
              <w:spacing w:after="0"/>
              <w:jc w:val="left"/>
            </w:pPr>
            <w:r>
              <w:rPr>
                <w:sz w:val="16"/>
              </w:rPr>
              <w:t>CAVENDISH</w:t>
            </w:r>
          </w:p>
        </w:tc>
        <w:tc>
          <w:tcPr>
            <w:tcW w:type="dxa" w:w="1658"/>
          </w:tcPr>
          <w:p>
            <w:pPr>
              <w:spacing w:after="0"/>
              <w:jc w:val="left"/>
            </w:pPr>
          </w:p>
        </w:tc>
        <w:tc>
          <w:tcPr>
            <w:tcW w:type="dxa" w:w="303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619"/>
          </w:tcPr>
          <w:p>
            <w:pPr>
              <w:spacing w:after="0"/>
              <w:jc w:val="left"/>
            </w:pPr>
          </w:p>
        </w:tc>
        <w:tc>
          <w:tcPr>
            <w:tcW w:type="dxa" w:w="1823"/>
          </w:tcPr>
          <w:p>
            <w:pPr>
              <w:spacing w:after="0"/>
              <w:jc w:val="left"/>
            </w:pPr>
            <w:r>
              <w:rPr>
                <w:sz w:val="16"/>
              </w:rPr>
              <w:t>damage not reported</w:t>
            </w:r>
          </w:p>
        </w:tc>
        <w:tc>
          <w:tcPr>
            <w:tcW w:type="dxa" w:w="959"/>
          </w:tcPr>
          <w:p>
            <w:pPr>
              <w:spacing w:after="0"/>
              <w:jc w:val="right"/>
            </w:pPr>
            <w:r>
              <w:rPr>
                <w:sz w:val="16"/>
              </w:rPr>
              <w:t>1, 0</w:t>
            </w:r>
          </w:p>
        </w:tc>
        <w:tc>
          <w:tcPr>
            <w:tcW w:type="dxa" w:w="2761"/>
          </w:tcPr>
          <w:p>
            <w:pPr>
              <w:spacing w:after="0"/>
              <w:jc w:val="left"/>
            </w:pPr>
            <w:r>
              <w:rPr>
                <w:sz w:val="16"/>
              </w:rPr>
              <w:t>WOODSTOCK</w:t>
            </w:r>
          </w:p>
        </w:tc>
        <w:tc>
          <w:tcPr>
            <w:tcW w:type="dxa" w:w="1658"/>
          </w:tcPr>
          <w:p>
            <w:pPr>
              <w:spacing w:after="0"/>
              <w:jc w:val="left"/>
            </w:pPr>
          </w:p>
        </w:tc>
        <w:tc>
          <w:tcPr>
            <w:tcW w:type="dxa" w:w="303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619"/>
          </w:tcPr>
          <w:p>
            <w:pPr>
              <w:spacing w:after="0"/>
              <w:jc w:val="left"/>
            </w:pPr>
          </w:p>
        </w:tc>
        <w:tc>
          <w:tcPr>
            <w:tcW w:type="dxa" w:w="1823"/>
          </w:tcPr>
          <w:p>
            <w:pPr>
              <w:spacing w:after="0"/>
              <w:jc w:val="left"/>
            </w:pPr>
            <w:r>
              <w:rPr>
                <w:sz w:val="16"/>
              </w:rPr>
              <w:t>$50,000 property; crops not reported, reported for the zone (2000 dollars)</w:t>
            </w:r>
          </w:p>
        </w:tc>
        <w:tc>
          <w:tcPr>
            <w:tcW w:type="dxa" w:w="959"/>
          </w:tcPr>
          <w:p>
            <w:pPr>
              <w:spacing w:after="0"/>
              <w:jc w:val="right"/>
            </w:pPr>
            <w:r>
              <w:rPr>
                <w:sz w:val="16"/>
              </w:rPr>
              <w:t>1, 2</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619"/>
          </w:tcPr>
          <w:p>
            <w:pPr>
              <w:spacing w:after="0"/>
              <w:jc w:val="left"/>
            </w:pPr>
          </w:p>
        </w:tc>
        <w:tc>
          <w:tcPr>
            <w:tcW w:type="dxa" w:w="1823"/>
          </w:tcPr>
          <w:p>
            <w:pPr>
              <w:spacing w:after="0"/>
              <w:jc w:val="left"/>
            </w:pPr>
            <w:r>
              <w:rPr>
                <w:sz w:val="16"/>
              </w:rPr>
              <w:t>$80,000 property; crops not reported, reported for the zone (1998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619"/>
          </w:tcPr>
          <w:p>
            <w:pPr>
              <w:spacing w:after="0"/>
              <w:jc w:val="left"/>
            </w:pPr>
            <w:r>
              <w:rPr>
                <w:sz w:val="16"/>
              </w:rPr>
              <w:t>F2, 1 mi path length (whole path, pre-1996), 33 yd wide</w:t>
            </w:r>
          </w:p>
        </w:tc>
        <w:tc>
          <w:tcPr>
            <w:tcW w:type="dxa" w:w="1823"/>
          </w:tcPr>
          <w:p>
            <w:pPr>
              <w:spacing w:after="0"/>
              <w:jc w:val="left"/>
            </w:pPr>
            <w:r>
              <w:rPr>
                <w:sz w:val="16"/>
              </w:rPr>
              <w:t>$25,000 property; crops not recorded (1966 dollars)</w:t>
            </w:r>
          </w:p>
        </w:tc>
        <w:tc>
          <w:tcPr>
            <w:tcW w:type="dxa" w:w="959"/>
          </w:tcPr>
          <w:p>
            <w:pPr>
              <w:spacing w:after="0"/>
              <w:jc w:val="right"/>
            </w:pPr>
            <w:r>
              <w:rPr>
                <w:sz w:val="16"/>
              </w:rPr>
              <w:t>0, 0</w:t>
            </w:r>
          </w:p>
        </w:tc>
        <w:tc>
          <w:tcPr>
            <w:tcW w:type="dxa" w:w="2761"/>
          </w:tcPr>
          <w:p>
            <w:pPr>
              <w:spacing w:after="0"/>
              <w:jc w:val="left"/>
            </w:pPr>
            <w:r>
              <w:rPr>
                <w:sz w:val="16"/>
              </w:rPr>
              <w:t>location not recorded</w:t>
            </w:r>
          </w:p>
        </w:tc>
        <w:tc>
          <w:tcPr>
            <w:tcW w:type="dxa" w:w="1658"/>
          </w:tcPr>
          <w:p>
            <w:pPr>
              <w:spacing w:after="0"/>
              <w:jc w:val="left"/>
            </w:pPr>
          </w:p>
        </w:tc>
        <w:tc>
          <w:tcPr>
            <w:tcW w:type="dxa" w:w="303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3.06</w:t>
            </w:r>
          </w:p>
        </w:tc>
        <w:tc>
          <w:tcPr>
            <w:tcW w:type="dxa" w:w="1277"/>
          </w:tcPr>
          <w:p>
            <w:pPr>
              <w:spacing w:after="0"/>
              <w:jc w:val="left"/>
            </w:pPr>
            <w:r>
              <w:rPr>
                <w:sz w:val="16"/>
              </w:rPr>
              <w:t>event-days per year</w:t>
            </w:r>
          </w:p>
        </w:tc>
        <w:tc>
          <w:tcPr>
            <w:tcW w:type="dxa" w:w="1576"/>
          </w:tcPr>
          <w:p>
            <w:pPr>
              <w:spacing w:after="0"/>
              <w:jc w:val="left"/>
            </w:pPr>
            <w:r>
              <w:rPr>
                <w:sz w:val="16"/>
              </w:rPr>
              <w:t>about 3.06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58.2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0.116%</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1.95</w:t>
            </w:r>
          </w:p>
        </w:tc>
        <w:tc>
          <w:tcPr>
            <w:tcW w:type="dxa" w:w="1277"/>
          </w:tcPr>
          <w:p>
            <w:pPr>
              <w:spacing w:after="0"/>
              <w:jc w:val="left"/>
            </w:pPr>
            <w:r>
              <w:rPr>
                <w:sz w:val="16"/>
              </w:rPr>
              <w:t>event-days per year</w:t>
            </w:r>
          </w:p>
        </w:tc>
        <w:tc>
          <w:tcPr>
            <w:tcW w:type="dxa" w:w="1576"/>
          </w:tcPr>
          <w:p>
            <w:pPr>
              <w:spacing w:after="0"/>
              <w:jc w:val="left"/>
            </w:pPr>
            <w:r>
              <w:rPr>
                <w:sz w:val="16"/>
              </w:rPr>
              <w:t>about 1.95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0.0513</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0.608</w:t>
            </w:r>
          </w:p>
        </w:tc>
        <w:tc>
          <w:tcPr>
            <w:tcW w:type="dxa" w:w="1277"/>
          </w:tcPr>
          <w:p>
            <w:pPr>
              <w:spacing w:after="0"/>
              <w:jc w:val="left"/>
            </w:pPr>
            <w:r>
              <w:rPr>
                <w:sz w:val="16"/>
              </w:rPr>
              <w:t>event-days per year</w:t>
            </w:r>
          </w:p>
        </w:tc>
        <w:tc>
          <w:tcPr>
            <w:tcW w:type="dxa" w:w="1576"/>
          </w:tcPr>
          <w:p>
            <w:pPr>
              <w:spacing w:after="0"/>
              <w:jc w:val="left"/>
            </w:pPr>
            <w:r>
              <w:rPr>
                <w:sz w:val="16"/>
              </w:rPr>
              <w:t>about 0.608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41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1.36</w:t>
            </w:r>
          </w:p>
        </w:tc>
        <w:tc>
          <w:tcPr>
            <w:tcW w:type="dxa" w:w="1277"/>
          </w:tcPr>
          <w:p>
            <w:pPr>
              <w:spacing w:after="0"/>
              <w:jc w:val="left"/>
            </w:pPr>
            <w:r>
              <w:rPr>
                <w:sz w:val="16"/>
              </w:rPr>
              <w:t>event-days per year</w:t>
            </w:r>
          </w:p>
        </w:tc>
        <w:tc>
          <w:tcPr>
            <w:tcW w:type="dxa" w:w="1576"/>
          </w:tcPr>
          <w:p>
            <w:pPr>
              <w:spacing w:after="0"/>
              <w:jc w:val="left"/>
            </w:pPr>
            <w:r>
              <w:rPr>
                <w:sz w:val="16"/>
              </w:rPr>
              <w:t>about 1.36 days per year</w:t>
            </w:r>
          </w:p>
        </w:tc>
        <w:tc>
          <w:tcPr>
            <w:tcW w:type="dxa" w:w="1620"/>
          </w:tcPr>
          <w:p>
            <w:pPr>
              <w:spacing w:after="0"/>
              <w:jc w:val="left"/>
            </w:pPr>
            <w:r>
              <w:rPr>
                <w:sz w:val="16"/>
              </w:rPr>
              <w:t>Likely (from Storm Events: 19 of 30 years)</w:t>
            </w:r>
          </w:p>
        </w:tc>
        <w:tc>
          <w:tcPr>
            <w:tcW w:type="dxa" w:w="1771"/>
          </w:tcPr>
          <w:p>
            <w:pPr>
              <w:spacing w:after="0"/>
              <w:jc w:val="left"/>
            </w:pPr>
            <w:r>
              <w:rPr>
                <w:sz w:val="16"/>
              </w:rPr>
              <w:t>event-days in 19 of 30 years, 1996 to 2025 (63.3%)</w:t>
            </w:r>
          </w:p>
        </w:tc>
        <w:tc>
          <w:tcPr>
            <w:tcW w:type="dxa" w:w="1522"/>
          </w:tcPr>
          <w:p>
            <w:pPr>
              <w:spacing w:after="0"/>
              <w:jc w:val="right"/>
            </w:pPr>
            <w:r>
              <w:rPr>
                <w:sz w:val="16"/>
              </w:rPr>
              <w:t>38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2.06</w:t>
            </w:r>
          </w:p>
        </w:tc>
        <w:tc>
          <w:tcPr>
            <w:tcW w:type="dxa" w:w="1277"/>
          </w:tcPr>
          <w:p>
            <w:pPr>
              <w:spacing w:after="0"/>
              <w:jc w:val="left"/>
            </w:pPr>
            <w:r>
              <w:rPr>
                <w:sz w:val="16"/>
              </w:rPr>
              <w:t>events per year (modeled)</w:t>
            </w:r>
          </w:p>
        </w:tc>
        <w:tc>
          <w:tcPr>
            <w:tcW w:type="dxa" w:w="1576"/>
          </w:tcPr>
          <w:p>
            <w:pPr>
              <w:spacing w:after="0"/>
              <w:jc w:val="left"/>
            </w:pPr>
            <w:r>
              <w:rPr>
                <w:sz w:val="16"/>
              </w:rPr>
              <w:t>about 2.06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21.1</w:t>
            </w:r>
          </w:p>
        </w:tc>
        <w:tc>
          <w:tcPr>
            <w:tcW w:type="dxa" w:w="1277"/>
          </w:tcPr>
          <w:p>
            <w:pPr>
              <w:spacing w:after="0"/>
              <w:jc w:val="left"/>
            </w:pPr>
            <w:r>
              <w:rPr>
                <w:sz w:val="16"/>
              </w:rPr>
              <w:t>days per year with a strike</w:t>
            </w:r>
          </w:p>
        </w:tc>
        <w:tc>
          <w:tcPr>
            <w:tcW w:type="dxa" w:w="1576"/>
          </w:tcPr>
          <w:p>
            <w:pPr>
              <w:spacing w:after="0"/>
              <w:jc w:val="left"/>
            </w:pPr>
            <w:r>
              <w:rPr>
                <w:sz w:val="16"/>
              </w:rPr>
              <w:t>about 21.1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1.04</w:t>
            </w:r>
          </w:p>
        </w:tc>
        <w:tc>
          <w:tcPr>
            <w:tcW w:type="dxa" w:w="1277"/>
          </w:tcPr>
          <w:p>
            <w:pPr>
              <w:spacing w:after="0"/>
              <w:jc w:val="left"/>
            </w:pPr>
            <w:r>
              <w:rPr>
                <w:sz w:val="16"/>
              </w:rPr>
              <w:t>events per year</w:t>
            </w:r>
          </w:p>
        </w:tc>
        <w:tc>
          <w:tcPr>
            <w:tcW w:type="dxa" w:w="1576"/>
          </w:tcPr>
          <w:p>
            <w:pPr>
              <w:spacing w:after="0"/>
              <w:jc w:val="left"/>
            </w:pPr>
            <w:r>
              <w:rPr>
                <w:sz w:val="16"/>
              </w:rPr>
              <w:t>about 1.04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0.11</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0.0000167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0.00167%</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20.3</w:t>
            </w:r>
          </w:p>
        </w:tc>
        <w:tc>
          <w:tcPr>
            <w:tcW w:type="dxa" w:w="1277"/>
          </w:tcPr>
          <w:p>
            <w:pPr>
              <w:spacing w:after="0"/>
              <w:jc w:val="left"/>
            </w:pPr>
            <w:r>
              <w:rPr>
                <w:sz w:val="16"/>
              </w:rPr>
              <w:t>event-days per year</w:t>
            </w:r>
          </w:p>
        </w:tc>
        <w:tc>
          <w:tcPr>
            <w:tcW w:type="dxa" w:w="1576"/>
          </w:tcPr>
          <w:p>
            <w:pPr>
              <w:spacing w:after="0"/>
              <w:jc w:val="left"/>
            </w:pPr>
            <w:r>
              <w:rPr>
                <w:sz w:val="16"/>
              </w:rPr>
              <w:t>about 20.3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386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0"/>
        <w:gridCol w:w="787"/>
        <w:gridCol w:w="3212"/>
        <w:gridCol w:w="2561"/>
        <w:gridCol w:w="2648"/>
        <w:gridCol w:w="2995"/>
      </w:tblGrid>
      <w:tr>
        <w:trPr>
          <w:cantSplit/>
          <w:tblHeader/>
        </w:trPr>
        <w:tc>
          <w:tcPr>
            <w:tcW w:type="dxa" w:w="1910"/>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Plan status</w:t>
            </w:r>
          </w:p>
        </w:tc>
        <w:tc>
          <w:tcPr>
            <w:tcW w:type="dxa" w:w="25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10"/>
          </w:tcPr>
          <w:p>
            <w:pPr>
              <w:spacing w:after="0"/>
              <w:jc w:val="left"/>
            </w:pPr>
            <w:r>
              <w:rPr>
                <w:sz w:val="16"/>
              </w:rPr>
              <w:t>Springfield town</w:t>
            </w:r>
          </w:p>
        </w:tc>
        <w:tc>
          <w:tcPr>
            <w:tcW w:type="dxa" w:w="787"/>
          </w:tcPr>
          <w:p>
            <w:pPr>
              <w:spacing w:after="0"/>
              <w:jc w:val="left"/>
            </w:pPr>
            <w:r>
              <w:rPr>
                <w:sz w:val="16"/>
              </w:rPr>
              <w:t>Town</w:t>
            </w:r>
          </w:p>
        </w:tc>
        <w:tc>
          <w:tcPr>
            <w:tcW w:type="dxa" w:w="3212"/>
          </w:tcPr>
          <w:p>
            <w:pPr>
              <w:spacing w:after="0"/>
              <w:jc w:val="left"/>
            </w:pPr>
            <w:r>
              <w:rPr>
                <w:sz w:val="16"/>
              </w:rPr>
              <w:t>Approved, expires 2029-07-02</w:t>
            </w:r>
          </w:p>
        </w:tc>
        <w:tc>
          <w:tcPr>
            <w:tcW w:type="dxa" w:w="2561"/>
          </w:tcPr>
          <w:p>
            <w:pPr>
              <w:spacing w:after="0"/>
              <w:jc w:val="right"/>
            </w:pPr>
            <w:r>
              <w:rPr>
                <w:sz w:val="16"/>
              </w:rPr>
              <w:t>FMA RL 0, SRL 0; any 0</w:t>
            </w:r>
          </w:p>
        </w:tc>
        <w:tc>
          <w:tcPr>
            <w:tcW w:type="dxa" w:w="2648"/>
          </w:tcPr>
          <w:p>
            <w:pPr>
              <w:spacing w:after="0"/>
              <w:jc w:val="right"/>
            </w:pPr>
            <w:r>
              <w:rPr>
                <w:sz w:val="16"/>
              </w:rPr>
              <w:t>$278,722.17</w:t>
            </w:r>
          </w:p>
        </w:tc>
        <w:tc>
          <w:tcPr>
            <w:tcW w:type="dxa" w:w="2995"/>
          </w:tcPr>
          <w:p>
            <w:pPr>
              <w:spacing w:after="0"/>
              <w:jc w:val="right"/>
            </w:pPr>
            <w:r>
              <w:rPr>
                <w:sz w:val="16"/>
              </w:rPr>
              <w:t>25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Windsor County, county-level (county FIPS 50027);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2024-07-03</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$1,074</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62"/>
          </w:tcPr>
          <w:p>
            <w:pPr>
              <w:spacing w:after="0"/>
              <w:jc w:val="right"/>
            </w:pPr>
            <w:r>
              <w:rPr>
                <w:sz w:val="16"/>
              </w:rPr>
              <w:t>$1,300,166</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28"/>
          </w:tcPr>
          <w:p>
            <w:pPr>
              <w:spacing w:after="0"/>
              <w:jc w:val="right"/>
            </w:pPr>
            <w:r>
              <w:rPr>
                <w:sz w:val="16"/>
              </w:rPr>
              <w:t>n/a</w:t>
            </w:r>
          </w:p>
        </w:tc>
        <w:tc>
          <w:tcPr>
            <w:tcW w:type="dxa" w:w="1039"/>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62"/>
          </w:tcPr>
          <w:p>
            <w:pPr>
              <w:spacing w:after="0"/>
              <w:jc w:val="right"/>
            </w:pPr>
            <w:r>
              <w:rPr>
                <w:sz w:val="16"/>
              </w:rPr>
              <w:t>$42,029</w:t>
            </w:r>
          </w:p>
        </w:tc>
        <w:tc>
          <w:tcPr>
            <w:tcW w:type="dxa" w:w="1035"/>
          </w:tcPr>
          <w:p>
            <w:pPr>
              <w:spacing w:after="0"/>
              <w:jc w:val="right"/>
            </w:pPr>
            <w:r>
              <w:rPr>
                <w:sz w:val="16"/>
              </w:rPr>
              <w:t>0.00121%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62"/>
          </w:tcPr>
          <w:p>
            <w:pPr>
              <w:spacing w:after="0"/>
              <w:jc w:val="right"/>
            </w:pPr>
            <w:r>
              <w:rPr>
                <w:sz w:val="16"/>
              </w:rPr>
              <w:t>$95,518</w:t>
            </w:r>
          </w:p>
        </w:tc>
        <w:tc>
          <w:tcPr>
            <w:tcW w:type="dxa" w:w="1035"/>
          </w:tcPr>
          <w:p>
            <w:pPr>
              <w:spacing w:after="0"/>
              <w:jc w:val="right"/>
            </w:pPr>
            <w:r>
              <w:rPr>
                <w:sz w:val="16"/>
              </w:rPr>
              <w:t>under 0.0001%</w:t>
            </w:r>
          </w:p>
        </w:tc>
        <w:tc>
          <w:tcPr>
            <w:tcW w:type="dxa" w:w="1132"/>
          </w:tcPr>
          <w:p>
            <w:pPr>
              <w:spacing w:after="0"/>
              <w:jc w:val="right"/>
            </w:pPr>
            <w:r>
              <w:rPr>
                <w:sz w:val="16"/>
              </w:rPr>
              <w:t>$0</w:t>
            </w: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62"/>
          </w:tcPr>
          <w:p>
            <w:pPr>
              <w:spacing w:after="0"/>
              <w:jc w:val="right"/>
            </w:pPr>
            <w:r>
              <w:rPr>
                <w:sz w:val="16"/>
              </w:rPr>
              <w:t>$977,288</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28"/>
          </w:tcPr>
          <w:p>
            <w:pPr>
              <w:spacing w:after="0"/>
              <w:jc w:val="right"/>
            </w:pPr>
            <w:r>
              <w:rPr>
                <w:sz w:val="16"/>
              </w:rPr>
              <w:t>$32,259,803</w:t>
            </w:r>
          </w:p>
        </w:tc>
        <w:tc>
          <w:tcPr>
            <w:tcW w:type="dxa" w:w="1039"/>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62"/>
          </w:tcPr>
          <w:p>
            <w:pPr>
              <w:spacing w:after="0"/>
              <w:jc w:val="right"/>
            </w:pPr>
            <w:r>
              <w:rPr>
                <w:sz w:val="16"/>
              </w:rPr>
              <w:t>$29,560</w:t>
            </w:r>
          </w:p>
        </w:tc>
        <w:tc>
          <w:tcPr>
            <w:tcW w:type="dxa" w:w="1035"/>
          </w:tcPr>
          <w:p>
            <w:pPr>
              <w:spacing w:after="0"/>
              <w:jc w:val="right"/>
            </w:pPr>
            <w:r>
              <w:rPr>
                <w:sz w:val="16"/>
              </w:rPr>
              <w:t>0.00486%</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28"/>
          </w:tcPr>
          <w:p>
            <w:pPr>
              <w:spacing w:after="0"/>
              <w:jc w:val="right"/>
            </w:pPr>
            <w:r>
              <w:rPr>
                <w:sz w:val="16"/>
              </w:rPr>
              <w:t>n/a</w:t>
            </w:r>
          </w:p>
        </w:tc>
        <w:tc>
          <w:tcPr>
            <w:tcW w:type="dxa" w:w="1039"/>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62"/>
          </w:tcPr>
          <w:p>
            <w:pPr>
              <w:spacing w:after="0"/>
              <w:jc w:val="right"/>
            </w:pPr>
            <w:r>
              <w:rPr>
                <w:sz w:val="16"/>
              </w:rPr>
              <w:t>$16,091</w:t>
            </w:r>
          </w:p>
        </w:tc>
        <w:tc>
          <w:tcPr>
            <w:tcW w:type="dxa" w:w="1035"/>
          </w:tcPr>
          <w:p>
            <w:pPr>
              <w:spacing w:after="0"/>
              <w:jc w:val="right"/>
            </w:pPr>
            <w:r>
              <w:rPr>
                <w:sz w:val="16"/>
              </w:rPr>
              <w:t>0.00145%</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28"/>
          </w:tcPr>
          <w:p>
            <w:pPr>
              <w:spacing w:after="0"/>
              <w:jc w:val="right"/>
            </w:pPr>
            <w:r>
              <w:rPr>
                <w:sz w:val="16"/>
              </w:rPr>
              <w:t>$7,652,330</w:t>
            </w:r>
          </w:p>
        </w:tc>
        <w:tc>
          <w:tcPr>
            <w:tcW w:type="dxa" w:w="1039"/>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62"/>
          </w:tcPr>
          <w:p>
            <w:pPr>
              <w:spacing w:after="0"/>
              <w:jc w:val="right"/>
            </w:pPr>
            <w:r>
              <w:rPr>
                <w:sz w:val="16"/>
              </w:rPr>
              <w:t>$458,753</w:t>
            </w:r>
          </w:p>
        </w:tc>
        <w:tc>
          <w:tcPr>
            <w:tcW w:type="dxa" w:w="1035"/>
          </w:tcPr>
          <w:p>
            <w:pPr>
              <w:spacing w:after="0"/>
              <w:jc w:val="right"/>
            </w:pPr>
            <w:r>
              <w:rPr>
                <w:sz w:val="16"/>
              </w:rPr>
              <w:t>n/a (see note)</w:t>
            </w:r>
          </w:p>
        </w:tc>
        <w:tc>
          <w:tcPr>
            <w:tcW w:type="dxa" w:w="1132"/>
          </w:tcPr>
          <w:p>
            <w:pPr>
              <w:spacing w:after="0"/>
              <w:jc w:val="right"/>
            </w:pPr>
            <w:r>
              <w:rPr>
                <w:sz w:val="16"/>
              </w:rPr>
              <w:t>$300,000</w:t>
            </w: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28"/>
          </w:tcPr>
          <w:p>
            <w:pPr>
              <w:spacing w:after="0"/>
              <w:jc w:val="right"/>
            </w:pPr>
            <w:r>
              <w:rPr>
                <w:sz w:val="16"/>
              </w:rPr>
              <w:t>n/a</w:t>
            </w:r>
          </w:p>
        </w:tc>
        <w:tc>
          <w:tcPr>
            <w:tcW w:type="dxa" w:w="1039"/>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62"/>
          </w:tcPr>
          <w:p>
            <w:pPr>
              <w:spacing w:after="0"/>
              <w:jc w:val="right"/>
            </w:pPr>
            <w:r>
              <w:rPr>
                <w:sz w:val="16"/>
              </w:rPr>
              <w:t>$22,574</w:t>
            </w:r>
          </w:p>
        </w:tc>
        <w:tc>
          <w:tcPr>
            <w:tcW w:type="dxa" w:w="1035"/>
          </w:tcPr>
          <w:p>
            <w:pPr>
              <w:spacing w:after="0"/>
              <w:jc w:val="right"/>
            </w:pPr>
            <w:r>
              <w:rPr>
                <w:sz w:val="16"/>
              </w:rPr>
              <w:t>0.00224%</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28"/>
          </w:tcPr>
          <w:p>
            <w:pPr>
              <w:spacing w:after="0"/>
              <w:jc w:val="right"/>
            </w:pPr>
            <w:r>
              <w:rPr>
                <w:sz w:val="16"/>
              </w:rPr>
              <w:t>n/a</w:t>
            </w:r>
          </w:p>
        </w:tc>
        <w:tc>
          <w:tcPr>
            <w:tcW w:type="dxa" w:w="1039"/>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62"/>
          </w:tcPr>
          <w:p>
            <w:pPr>
              <w:spacing w:after="0"/>
              <w:jc w:val="right"/>
            </w:pPr>
            <w:r>
              <w:rPr>
                <w:sz w:val="16"/>
              </w:rPr>
              <w:t>$447,802</w:t>
            </w:r>
          </w:p>
        </w:tc>
        <w:tc>
          <w:tcPr>
            <w:tcW w:type="dxa" w:w="1035"/>
          </w:tcPr>
          <w:p>
            <w:pPr>
              <w:spacing w:after="0"/>
              <w:jc w:val="right"/>
            </w:pPr>
            <w:r>
              <w:rPr>
                <w:sz w:val="16"/>
              </w:rPr>
              <w:t>0.000211%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62"/>
          </w:tcPr>
          <w:p>
            <w:pPr>
              <w:spacing w:after="0"/>
              <w:jc w:val="right"/>
            </w:pPr>
            <w:r>
              <w:rPr>
                <w:sz w:val="16"/>
              </w:rPr>
              <w:t>$130,484</w:t>
            </w:r>
          </w:p>
        </w:tc>
        <w:tc>
          <w:tcPr>
            <w:tcW w:type="dxa" w:w="1035"/>
          </w:tcPr>
          <w:p>
            <w:pPr>
              <w:spacing w:after="0"/>
              <w:jc w:val="right"/>
            </w:pPr>
            <w:r>
              <w:rPr>
                <w:sz w:val="16"/>
              </w:rPr>
              <w:t>0.00163%</w:t>
            </w:r>
          </w:p>
        </w:tc>
        <w:tc>
          <w:tcPr>
            <w:tcW w:type="dxa" w:w="1132"/>
          </w:tcPr>
          <w:p>
            <w:pPr>
              <w:spacing w:after="0"/>
              <w:jc w:val="right"/>
            </w:pPr>
            <w:r>
              <w:rPr>
                <w:sz w:val="16"/>
              </w:rPr>
              <w:t>$132,000</w:t>
            </w:r>
          </w:p>
        </w:tc>
        <w:tc>
          <w:tcPr>
            <w:tcW w:type="dxa" w:w="1052"/>
          </w:tcPr>
          <w:p>
            <w:pPr>
              <w:spacing w:after="0"/>
              <w:jc w:val="right"/>
            </w:pPr>
            <w:r>
              <w:rPr>
                <w:sz w:val="16"/>
              </w:rPr>
              <w:t>$10,000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62"/>
          </w:tcPr>
          <w:p>
            <w:pPr>
              <w:spacing w:after="0"/>
              <w:jc w:val="right"/>
            </w:pPr>
            <w:r>
              <w:rPr>
                <w:sz w:val="16"/>
              </w:rPr>
              <w:t>$292,651</w:t>
            </w:r>
          </w:p>
        </w:tc>
        <w:tc>
          <w:tcPr>
            <w:tcW w:type="dxa" w:w="1035"/>
          </w:tcPr>
          <w:p>
            <w:pPr>
              <w:spacing w:after="0"/>
              <w:jc w:val="right"/>
            </w:pPr>
            <w:r>
              <w:rPr>
                <w:sz w:val="16"/>
              </w:rPr>
              <w:t>0.00176%</w:t>
            </w:r>
          </w:p>
        </w:tc>
        <w:tc>
          <w:tcPr>
            <w:tcW w:type="dxa" w:w="1132"/>
          </w:tcPr>
          <w:p>
            <w:pPr>
              <w:spacing w:after="0"/>
              <w:jc w:val="right"/>
            </w:pPr>
            <w:r>
              <w:rPr>
                <w:sz w:val="16"/>
              </w:rPr>
              <w:t>$100,000</w:t>
            </w: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28"/>
          </w:tcPr>
          <w:p>
            <w:pPr>
              <w:spacing w:after="0"/>
              <w:jc w:val="right"/>
            </w:pPr>
            <w:r>
              <w:rPr>
                <w:sz w:val="16"/>
              </w:rPr>
              <w:t>$23,236,684</w:t>
            </w:r>
          </w:p>
        </w:tc>
        <w:tc>
          <w:tcPr>
            <w:tcW w:type="dxa" w:w="1039"/>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62"/>
          </w:tcPr>
          <w:p>
            <w:pPr>
              <w:spacing w:after="0"/>
              <w:jc w:val="right"/>
            </w:pPr>
            <w:r>
              <w:rPr>
                <w:sz w:val="16"/>
              </w:rPr>
              <w:t>$1,139</w:t>
            </w:r>
          </w:p>
        </w:tc>
        <w:tc>
          <w:tcPr>
            <w:tcW w:type="dxa" w:w="1035"/>
          </w:tcPr>
          <w:p>
            <w:pPr>
              <w:spacing w:after="0"/>
              <w:jc w:val="right"/>
            </w:pPr>
            <w:r>
              <w:rPr>
                <w:sz w:val="16"/>
              </w:rPr>
              <w:t>0.000114%</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28"/>
          </w:tcPr>
          <w:p>
            <w:pPr>
              <w:spacing w:after="0"/>
              <w:jc w:val="right"/>
            </w:pPr>
            <w:r>
              <w:rPr>
                <w:sz w:val="16"/>
              </w:rPr>
              <w:t>$32,259,803</w:t>
            </w:r>
          </w:p>
        </w:tc>
        <w:tc>
          <w:tcPr>
            <w:tcW w:type="dxa" w:w="1039"/>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62"/>
          </w:tcPr>
          <w:p>
            <w:pPr>
              <w:spacing w:after="0"/>
              <w:jc w:val="right"/>
            </w:pPr>
            <w:r>
              <w:rPr>
                <w:sz w:val="16"/>
              </w:rPr>
              <w:t>$99,504</w:t>
            </w:r>
          </w:p>
        </w:tc>
        <w:tc>
          <w:tcPr>
            <w:tcW w:type="dxa" w:w="1035"/>
          </w:tcPr>
          <w:p>
            <w:pPr>
              <w:spacing w:after="0"/>
              <w:jc w:val="right"/>
            </w:pPr>
            <w:r>
              <w:rPr>
                <w:sz w:val="16"/>
              </w:rPr>
              <w:t>0.000529%</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bl>
    <w:p>
      <w:pPr>
        <w:spacing w:after="40" w:before="60"/>
      </w:pPr>
      <w:r>
        <w:rPr>
          <w:sz w:val="15"/>
        </w:rPr>
        <w:t>Totals since 2024-07-03 (Storm Events through 2026-06-30): 10 county-coded records, 10 with a damage value recorded (including $0), $532,000; 25 zone-level records, 25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Windsor County, county-level (county FIPS 50027);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Springfield town</w:t>
            </w:r>
          </w:p>
        </w:tc>
        <w:tc>
          <w:tcPr>
            <w:tcW w:type="dxa" w:w="1589"/>
          </w:tcPr>
          <w:p>
            <w:pPr>
              <w:spacing w:after="0"/>
              <w:jc w:val="left"/>
            </w:pPr>
            <w:r>
              <w:rPr>
                <w:sz w:val="16"/>
              </w:rPr>
              <w:t>500154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Springfield town, VT: risk-assessment baseline packet, release 2026-10 (data as of 2026-09-30; Town FIPS 5002769550). Automated baseline. </w:t>
      </w:r>
      <w:hyperlink r:id="rId16">
        <w:r>
          <w:rPr>
            <w:color w:val="1F4E99"/>
            <w:sz w:val="17"/>
            <w:u w:val="single"/>
          </w:rPr>
          <w:t>https://hazardplain.org/vt/5002769550/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hazard-plain_2026-10_VT_5002769550.docx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Springfield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695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Springfield town, VT: Risk-assessment baseline packet</dc:title>
  <dc:subject>Hazard Plain release 2026-10, as of 2026-09-30. Automated baseline</dc:subject>
  <dc:creator>Hazard Plain</dc:creator>
  <cp:keywords>Hazard Plain; hazard mitigation; risk assessment; 5002769550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