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Shelburne town,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5000764300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Buels gore; Burlington city; Charlotte town; Essex Junction village; Essex town; Hinesburg town; Huntington town; Jericho town; Milton town; Richmond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95"/>
        <w:gridCol w:w="649"/>
        <w:gridCol w:w="2647"/>
        <w:gridCol w:w="3034"/>
        <w:gridCol w:w="1038"/>
        <w:gridCol w:w="1038"/>
        <w:gridCol w:w="895"/>
        <w:gridCol w:w="949"/>
        <w:gridCol w:w="2468"/>
      </w:tblGrid>
      <w:tr>
        <w:trPr>
          <w:cantSplit/>
          <w:tblHeader/>
        </w:trPr>
        <w:tc>
          <w:tcPr>
            <w:tcW w:type="dxa" w:w="1395"/>
            <w:shd w:val="clear" w:color="auto" w:fill="E8E8E8"/>
          </w:tcPr>
          <w:p>
            <w:pPr>
              <w:spacing w:after="0"/>
              <w:jc w:val="left"/>
            </w:pPr>
            <w:r>
              <w:rPr>
                <w:b/>
                <w:sz w:val="16"/>
              </w:rPr>
              <w:t>Jurisdiction</w:t>
            </w:r>
          </w:p>
        </w:tc>
        <w:tc>
          <w:tcPr>
            <w:tcW w:type="dxa" w:w="649"/>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Status</w:t>
            </w:r>
          </w:p>
        </w:tc>
        <w:tc>
          <w:tcPr>
            <w:tcW w:type="dxa" w:w="3034"/>
            <w:shd w:val="clear" w:color="auto" w:fill="E8E8E8"/>
          </w:tcPr>
          <w:p>
            <w:pPr>
              <w:spacing w:after="0"/>
              <w:jc w:val="left"/>
            </w:pPr>
            <w:r>
              <w:rPr>
                <w:b/>
                <w:sz w:val="16"/>
              </w:rPr>
              <w:t>Plan</w:t>
            </w:r>
          </w:p>
        </w:tc>
        <w:tc>
          <w:tcPr>
            <w:tcW w:type="dxa" w:w="1038"/>
            <w:shd w:val="clear" w:color="auto" w:fill="E8E8E8"/>
          </w:tcPr>
          <w:p>
            <w:pPr>
              <w:spacing w:after="0"/>
              <w:jc w:val="left"/>
            </w:pPr>
            <w:r>
              <w:rPr>
                <w:b/>
                <w:sz w:val="16"/>
              </w:rPr>
              <w:t>Approved</w:t>
            </w:r>
          </w:p>
        </w:tc>
        <w:tc>
          <w:tcPr>
            <w:tcW w:type="dxa" w:w="1038"/>
            <w:shd w:val="clear" w:color="auto" w:fill="E8E8E8"/>
          </w:tcPr>
          <w:p>
            <w:pPr>
              <w:spacing w:after="0"/>
              <w:jc w:val="left"/>
            </w:pPr>
            <w:r>
              <w:rPr>
                <w:b/>
                <w:sz w:val="16"/>
              </w:rPr>
              <w:t>Expires</w:t>
            </w:r>
          </w:p>
        </w:tc>
        <w:tc>
          <w:tcPr>
            <w:tcW w:type="dxa" w:w="89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9"/>
            <w:shd w:val="clear" w:color="auto" w:fill="E8E8E8"/>
          </w:tcPr>
          <w:p>
            <w:pPr>
              <w:spacing w:after="0"/>
              <w:jc w:val="left"/>
            </w:pPr>
            <w:r>
              <w:rPr>
                <w:b/>
                <w:sz w:val="16"/>
              </w:rPr>
              <w:t>Update underway</w:t>
            </w:r>
          </w:p>
        </w:tc>
        <w:tc>
          <w:tcPr>
            <w:tcW w:type="dxa" w:w="2468"/>
            <w:shd w:val="clear" w:color="auto" w:fill="E8E8E8"/>
          </w:tcPr>
          <w:p>
            <w:pPr>
              <w:spacing w:after="0"/>
              <w:jc w:val="left"/>
            </w:pPr>
            <w:r>
              <w:rPr>
                <w:b/>
                <w:sz w:val="16"/>
              </w:rPr>
              <w:t>Notes</w:t>
            </w:r>
          </w:p>
        </w:tc>
      </w:tr>
      <w:tr>
        <w:trPr>
          <w:cantSplit/>
        </w:trPr>
        <w:tc>
          <w:tcPr>
            <w:tcW w:type="dxa" w:w="1395"/>
          </w:tcPr>
          <w:p>
            <w:pPr>
              <w:spacing w:after="0"/>
              <w:jc w:val="left"/>
            </w:pPr>
            <w:r>
              <w:rPr>
                <w:sz w:val="16"/>
              </w:rPr>
              <w:t>Shelburne town</w:t>
            </w:r>
          </w:p>
        </w:tc>
        <w:tc>
          <w:tcPr>
            <w:tcW w:type="dxa" w:w="649"/>
          </w:tcPr>
          <w:p>
            <w:pPr>
              <w:spacing w:after="0"/>
              <w:jc w:val="left"/>
            </w:pPr>
            <w:r>
              <w:rPr>
                <w:sz w:val="16"/>
              </w:rPr>
              <w:t>Town</w:t>
            </w:r>
          </w:p>
        </w:tc>
        <w:tc>
          <w:tcPr>
            <w:tcW w:type="dxa" w:w="2647"/>
          </w:tcPr>
          <w:p>
            <w:pPr>
              <w:spacing w:after="0"/>
              <w:jc w:val="left"/>
            </w:pPr>
            <w:r>
              <w:rPr>
                <w:sz w:val="16"/>
              </w:rPr>
              <w:t>Approved, expires 2027-11-10</w:t>
            </w:r>
          </w:p>
        </w:tc>
        <w:tc>
          <w:tcPr>
            <w:tcW w:type="dxa" w:w="3034"/>
          </w:tcPr>
          <w:p>
            <w:pPr>
              <w:spacing w:after="0"/>
              <w:jc w:val="left"/>
            </w:pPr>
            <w:r>
              <w:rPr>
                <w:sz w:val="16"/>
              </w:rPr>
              <w:t>2022 Chittenden County All Hazards Multi-Jurisdictional Hazard Mitigation Plan (FEMA plan 108641)</w:t>
            </w:r>
          </w:p>
        </w:tc>
        <w:tc>
          <w:tcPr>
            <w:tcW w:type="dxa" w:w="1038"/>
          </w:tcPr>
          <w:p>
            <w:pPr>
              <w:spacing w:after="0"/>
              <w:jc w:val="left"/>
            </w:pPr>
            <w:r>
              <w:rPr>
                <w:sz w:val="16"/>
              </w:rPr>
              <w:t>2022-11-11</w:t>
            </w:r>
          </w:p>
        </w:tc>
        <w:tc>
          <w:tcPr>
            <w:tcW w:type="dxa" w:w="1038"/>
          </w:tcPr>
          <w:p>
            <w:pPr>
              <w:spacing w:after="0"/>
              <w:jc w:val="left"/>
            </w:pPr>
            <w:r>
              <w:rPr>
                <w:sz w:val="16"/>
              </w:rPr>
              <w:t>2027-11-10</w:t>
            </w:r>
          </w:p>
        </w:tc>
        <w:tc>
          <w:tcPr>
            <w:tcW w:type="dxa" w:w="895"/>
          </w:tcPr>
          <w:p>
            <w:pPr>
              <w:spacing w:after="0"/>
              <w:jc w:val="right"/>
            </w:pPr>
            <w:r>
              <w:rPr>
                <w:sz w:val="16"/>
              </w:rPr>
              <w:t>408</w:t>
            </w:r>
          </w:p>
        </w:tc>
        <w:tc>
          <w:tcPr>
            <w:tcW w:type="dxa" w:w="949"/>
          </w:tcPr>
          <w:p>
            <w:pPr>
              <w:spacing w:after="0"/>
              <w:jc w:val="left"/>
            </w:pPr>
          </w:p>
        </w:tc>
        <w:tc>
          <w:tcPr>
            <w:tcW w:type="dxa" w:w="2468"/>
          </w:tcPr>
          <w:p>
            <w:pPr>
              <w:spacing w:after="0"/>
              <w:jc w:val="left"/>
            </w:pPr>
            <w:r>
              <w:rPr>
                <w:sz w:val="16"/>
              </w:rPr>
              <w:t>member approved 2023-01-17</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7"/>
        <w:gridCol w:w="724"/>
        <w:gridCol w:w="2953"/>
        <w:gridCol w:w="2354"/>
        <w:gridCol w:w="1656"/>
        <w:gridCol w:w="2015"/>
        <w:gridCol w:w="2853"/>
      </w:tblGrid>
      <w:tr>
        <w:trPr>
          <w:cantSplit/>
          <w:tblHeader/>
        </w:trPr>
        <w:tc>
          <w:tcPr>
            <w:tcW w:type="dxa" w:w="1557"/>
            <w:shd w:val="clear" w:color="auto" w:fill="E8E8E8"/>
          </w:tcPr>
          <w:p>
            <w:pPr>
              <w:spacing w:after="0"/>
              <w:jc w:val="left"/>
            </w:pPr>
            <w:r>
              <w:rPr>
                <w:b/>
                <w:sz w:val="16"/>
              </w:rPr>
              <w:t>Member</w:t>
            </w:r>
          </w:p>
        </w:tc>
        <w:tc>
          <w:tcPr>
            <w:tcW w:type="dxa" w:w="724"/>
            <w:shd w:val="clear" w:color="auto" w:fill="E8E8E8"/>
          </w:tcPr>
          <w:p>
            <w:pPr>
              <w:spacing w:after="0"/>
              <w:jc w:val="left"/>
            </w:pPr>
            <w:r>
              <w:rPr>
                <w:b/>
                <w:sz w:val="16"/>
              </w:rPr>
              <w:t>Type</w:t>
            </w:r>
          </w:p>
        </w:tc>
        <w:tc>
          <w:tcPr>
            <w:tcW w:type="dxa" w:w="2953"/>
            <w:shd w:val="clear" w:color="auto" w:fill="E8E8E8"/>
          </w:tcPr>
          <w:p>
            <w:pPr>
              <w:spacing w:after="0"/>
              <w:jc w:val="left"/>
            </w:pPr>
            <w:r>
              <w:rPr>
                <w:b/>
                <w:sz w:val="16"/>
              </w:rPr>
              <w:t>Plan status</w:t>
            </w:r>
          </w:p>
        </w:tc>
        <w:tc>
          <w:tcPr>
            <w:tcW w:type="dxa" w:w="23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3"/>
            <w:shd w:val="clear" w:color="auto" w:fill="E8E8E8"/>
          </w:tcPr>
          <w:p>
            <w:pPr>
              <w:spacing w:after="0"/>
              <w:jc w:val="left"/>
            </w:pPr>
            <w:r>
              <w:rPr>
                <w:b/>
                <w:sz w:val="16"/>
              </w:rPr>
              <w:t>Notes</w:t>
            </w:r>
          </w:p>
        </w:tc>
      </w:tr>
      <w:tr>
        <w:trPr>
          <w:cantSplit/>
        </w:trPr>
        <w:tc>
          <w:tcPr>
            <w:tcW w:type="dxa" w:w="1557"/>
          </w:tcPr>
          <w:p>
            <w:pPr>
              <w:spacing w:after="0"/>
              <w:jc w:val="left"/>
            </w:pPr>
            <w:r>
              <w:rPr>
                <w:sz w:val="16"/>
              </w:rPr>
              <w:t>Shelburne town</w:t>
            </w:r>
          </w:p>
        </w:tc>
        <w:tc>
          <w:tcPr>
            <w:tcW w:type="dxa" w:w="724"/>
          </w:tcPr>
          <w:p>
            <w:pPr>
              <w:spacing w:after="0"/>
              <w:jc w:val="left"/>
            </w:pPr>
            <w:r>
              <w:rPr>
                <w:sz w:val="16"/>
              </w:rPr>
              <w:t>Town</w:t>
            </w:r>
          </w:p>
        </w:tc>
        <w:tc>
          <w:tcPr>
            <w:tcW w:type="dxa" w:w="2953"/>
          </w:tcPr>
          <w:p>
            <w:pPr>
              <w:spacing w:after="0"/>
              <w:jc w:val="left"/>
            </w:pPr>
            <w:r>
              <w:rPr>
                <w:sz w:val="16"/>
              </w:rPr>
              <w:t>Approved, expires 2027-11-10</w:t>
            </w:r>
          </w:p>
        </w:tc>
        <w:tc>
          <w:tcPr>
            <w:tcW w:type="dxa" w:w="2354"/>
          </w:tcPr>
          <w:p>
            <w:pPr>
              <w:spacing w:after="0"/>
              <w:jc w:val="right"/>
            </w:pPr>
            <w:r>
              <w:rPr>
                <w:sz w:val="16"/>
              </w:rPr>
              <w:t>FMA RL 0, SRL 0; any 0</w:t>
            </w:r>
          </w:p>
        </w:tc>
        <w:tc>
          <w:tcPr>
            <w:tcW w:type="dxa" w:w="1656"/>
          </w:tcPr>
          <w:p>
            <w:pPr>
              <w:spacing w:after="0"/>
              <w:jc w:val="right"/>
            </w:pPr>
            <w:r>
              <w:rPr>
                <w:sz w:val="16"/>
              </w:rPr>
              <w:t>$94,315.65</w:t>
            </w:r>
          </w:p>
        </w:tc>
        <w:tc>
          <w:tcPr>
            <w:tcW w:type="dxa" w:w="2015"/>
          </w:tcPr>
          <w:p>
            <w:pPr>
              <w:spacing w:after="0"/>
              <w:jc w:val="right"/>
            </w:pPr>
            <w:r>
              <w:rPr>
                <w:sz w:val="16"/>
              </w:rPr>
              <w:t>25; 1</w:t>
            </w:r>
          </w:p>
        </w:tc>
        <w:tc>
          <w:tcPr>
            <w:tcW w:type="dxa" w:w="2853"/>
          </w:tcPr>
          <w:p>
            <w:pPr>
              <w:spacing w:after="0"/>
              <w:jc w:val="left"/>
            </w:pPr>
            <w:r>
              <w:rPr>
                <w:sz w:val="16"/>
              </w:rPr>
              <w:t>Includes $4,951.62 for declarations not counted as hazard incidents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Shelburne town</w:t>
            </w:r>
          </w:p>
        </w:tc>
        <w:tc>
          <w:tcPr>
            <w:tcW w:type="dxa" w:w="1513"/>
          </w:tcPr>
          <w:p>
            <w:pPr>
              <w:spacing w:after="0"/>
              <w:jc w:val="left"/>
            </w:pPr>
            <w:r>
              <w:rPr>
                <w:sz w:val="16"/>
              </w:rPr>
              <w:t>500193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Shelburne town, VT: risk-assessment baseline packet, release 2026-10 (data as of 2026-09-28; Vermont town 5000764300).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hazard-plain_2026-10_VT_5000764300.docx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Shelburne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Shelburne town, VT: Risk-assessment baseline packet</dc:title>
  <dc:subject>Hazard Plain release 2026-10, as of 2026-09-28. Preview: automated baseline</dc:subject>
  <dc:creator>Hazard Plain</dc:creator>
  <cp:keywords>Hazard Plain; hazard mitigation; risk assessment; 5000764300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