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Essex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5000724175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32"/>
        <w:gridCol w:w="657"/>
        <w:gridCol w:w="2681"/>
        <w:gridCol w:w="3073"/>
        <w:gridCol w:w="1051"/>
        <w:gridCol w:w="1051"/>
        <w:gridCol w:w="906"/>
        <w:gridCol w:w="961"/>
        <w:gridCol w:w="2500"/>
      </w:tblGrid>
      <w:tr>
        <w:trPr>
          <w:cantSplit/>
          <w:tblHeader/>
        </w:trPr>
        <w:tc>
          <w:tcPr>
            <w:tcW w:type="dxa" w:w="1232"/>
            <w:shd w:val="clear" w:color="auto" w:fill="E8E8E8"/>
          </w:tcPr>
          <w:p>
            <w:pPr>
              <w:spacing w:after="0"/>
              <w:jc w:val="left"/>
            </w:pPr>
            <w:r>
              <w:rPr>
                <w:b/>
                <w:sz w:val="16"/>
              </w:rPr>
              <w:t>Jurisdiction</w:t>
            </w:r>
          </w:p>
        </w:tc>
        <w:tc>
          <w:tcPr>
            <w:tcW w:type="dxa" w:w="657"/>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Status</w:t>
            </w:r>
          </w:p>
        </w:tc>
        <w:tc>
          <w:tcPr>
            <w:tcW w:type="dxa" w:w="3073"/>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2500"/>
            <w:shd w:val="clear" w:color="auto" w:fill="E8E8E8"/>
          </w:tcPr>
          <w:p>
            <w:pPr>
              <w:spacing w:after="0"/>
              <w:jc w:val="left"/>
            </w:pPr>
            <w:r>
              <w:rPr>
                <w:b/>
                <w:sz w:val="16"/>
              </w:rPr>
              <w:t>Notes</w:t>
            </w:r>
          </w:p>
        </w:tc>
      </w:tr>
      <w:tr>
        <w:trPr>
          <w:cantSplit/>
        </w:trPr>
        <w:tc>
          <w:tcPr>
            <w:tcW w:type="dxa" w:w="1232"/>
          </w:tcPr>
          <w:p>
            <w:pPr>
              <w:spacing w:after="0"/>
              <w:jc w:val="left"/>
            </w:pPr>
            <w:r>
              <w:rPr>
                <w:sz w:val="16"/>
              </w:rPr>
              <w:t>Essex town</w:t>
            </w:r>
          </w:p>
        </w:tc>
        <w:tc>
          <w:tcPr>
            <w:tcW w:type="dxa" w:w="657"/>
          </w:tcPr>
          <w:p>
            <w:pPr>
              <w:spacing w:after="0"/>
              <w:jc w:val="left"/>
            </w:pPr>
            <w:r>
              <w:rPr>
                <w:sz w:val="16"/>
              </w:rPr>
              <w:t>Town</w:t>
            </w:r>
          </w:p>
        </w:tc>
        <w:tc>
          <w:tcPr>
            <w:tcW w:type="dxa" w:w="2681"/>
          </w:tcPr>
          <w:p>
            <w:pPr>
              <w:spacing w:after="0"/>
              <w:jc w:val="left"/>
            </w:pPr>
            <w:r>
              <w:rPr>
                <w:sz w:val="16"/>
              </w:rPr>
              <w:t>Approved, expires 2027-11-10</w:t>
            </w:r>
          </w:p>
        </w:tc>
        <w:tc>
          <w:tcPr>
            <w:tcW w:type="dxa" w:w="3073"/>
          </w:tcPr>
          <w:p>
            <w:pPr>
              <w:spacing w:after="0"/>
              <w:jc w:val="left"/>
            </w:pPr>
            <w:r>
              <w:rPr>
                <w:sz w:val="16"/>
              </w:rPr>
              <w:t>2022 Chittenden County All Hazards Multi-Jurisdictional Hazard Mitigation Plan (FEMA plan 108641)</w:t>
            </w:r>
          </w:p>
        </w:tc>
        <w:tc>
          <w:tcPr>
            <w:tcW w:type="dxa" w:w="1051"/>
          </w:tcPr>
          <w:p>
            <w:pPr>
              <w:spacing w:after="0"/>
              <w:jc w:val="left"/>
            </w:pPr>
            <w:r>
              <w:rPr>
                <w:sz w:val="16"/>
              </w:rPr>
              <w:t>2022-11-11</w:t>
            </w:r>
          </w:p>
        </w:tc>
        <w:tc>
          <w:tcPr>
            <w:tcW w:type="dxa" w:w="1051"/>
          </w:tcPr>
          <w:p>
            <w:pPr>
              <w:spacing w:after="0"/>
              <w:jc w:val="left"/>
            </w:pPr>
            <w:r>
              <w:rPr>
                <w:sz w:val="16"/>
              </w:rPr>
              <w:t>2027-11-10</w:t>
            </w:r>
          </w:p>
        </w:tc>
        <w:tc>
          <w:tcPr>
            <w:tcW w:type="dxa" w:w="906"/>
          </w:tcPr>
          <w:p>
            <w:pPr>
              <w:spacing w:after="0"/>
              <w:jc w:val="right"/>
            </w:pPr>
            <w:r>
              <w:rPr>
                <w:sz w:val="16"/>
              </w:rPr>
              <w:t>408</w:t>
            </w:r>
          </w:p>
        </w:tc>
        <w:tc>
          <w:tcPr>
            <w:tcW w:type="dxa" w:w="961"/>
          </w:tcPr>
          <w:p>
            <w:pPr>
              <w:spacing w:after="0"/>
              <w:jc w:val="left"/>
            </w:pPr>
          </w:p>
        </w:tc>
        <w:tc>
          <w:tcPr>
            <w:tcW w:type="dxa" w:w="2500"/>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55"/>
        <w:gridCol w:w="722"/>
        <w:gridCol w:w="2946"/>
        <w:gridCol w:w="2349"/>
        <w:gridCol w:w="1653"/>
        <w:gridCol w:w="2011"/>
        <w:gridCol w:w="3277"/>
      </w:tblGrid>
      <w:tr>
        <w:trPr>
          <w:cantSplit/>
          <w:tblHeader/>
        </w:trPr>
        <w:tc>
          <w:tcPr>
            <w:tcW w:type="dxa" w:w="1155"/>
            <w:shd w:val="clear" w:color="auto" w:fill="E8E8E8"/>
          </w:tcPr>
          <w:p>
            <w:pPr>
              <w:spacing w:after="0"/>
              <w:jc w:val="left"/>
            </w:pPr>
            <w:r>
              <w:rPr>
                <w:b/>
                <w:sz w:val="16"/>
              </w:rPr>
              <w:t>Member</w:t>
            </w:r>
          </w:p>
        </w:tc>
        <w:tc>
          <w:tcPr>
            <w:tcW w:type="dxa" w:w="722"/>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Plan status</w:t>
            </w:r>
          </w:p>
        </w:tc>
        <w:tc>
          <w:tcPr>
            <w:tcW w:type="dxa" w:w="23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77"/>
            <w:shd w:val="clear" w:color="auto" w:fill="E8E8E8"/>
          </w:tcPr>
          <w:p>
            <w:pPr>
              <w:spacing w:after="0"/>
              <w:jc w:val="left"/>
            </w:pPr>
            <w:r>
              <w:rPr>
                <w:b/>
                <w:sz w:val="16"/>
              </w:rPr>
              <w:t>Notes</w:t>
            </w:r>
          </w:p>
        </w:tc>
      </w:tr>
      <w:tr>
        <w:trPr>
          <w:cantSplit/>
        </w:trPr>
        <w:tc>
          <w:tcPr>
            <w:tcW w:type="dxa" w:w="1155"/>
          </w:tcPr>
          <w:p>
            <w:pPr>
              <w:spacing w:after="0"/>
              <w:jc w:val="left"/>
            </w:pPr>
            <w:r>
              <w:rPr>
                <w:sz w:val="16"/>
              </w:rPr>
              <w:t>Essex town</w:t>
            </w:r>
          </w:p>
        </w:tc>
        <w:tc>
          <w:tcPr>
            <w:tcW w:type="dxa" w:w="722"/>
          </w:tcPr>
          <w:p>
            <w:pPr>
              <w:spacing w:after="0"/>
              <w:jc w:val="left"/>
            </w:pPr>
            <w:r>
              <w:rPr>
                <w:sz w:val="16"/>
              </w:rPr>
              <w:t>Town</w:t>
            </w:r>
          </w:p>
        </w:tc>
        <w:tc>
          <w:tcPr>
            <w:tcW w:type="dxa" w:w="2946"/>
          </w:tcPr>
          <w:p>
            <w:pPr>
              <w:spacing w:after="0"/>
              <w:jc w:val="left"/>
            </w:pPr>
            <w:r>
              <w:rPr>
                <w:sz w:val="16"/>
              </w:rPr>
              <w:t>Approved, expires 2027-11-10</w:t>
            </w:r>
          </w:p>
        </w:tc>
        <w:tc>
          <w:tcPr>
            <w:tcW w:type="dxa" w:w="2349"/>
          </w:tcPr>
          <w:p>
            <w:pPr>
              <w:spacing w:after="0"/>
              <w:jc w:val="right"/>
            </w:pPr>
            <w:r>
              <w:rPr>
                <w:sz w:val="16"/>
              </w:rPr>
              <w:t>FMA RL 0, SRL 0; any 0</w:t>
            </w:r>
          </w:p>
        </w:tc>
        <w:tc>
          <w:tcPr>
            <w:tcW w:type="dxa" w:w="1653"/>
          </w:tcPr>
          <w:p>
            <w:pPr>
              <w:spacing w:after="0"/>
              <w:jc w:val="right"/>
            </w:pPr>
            <w:r>
              <w:rPr>
                <w:sz w:val="16"/>
              </w:rPr>
              <w:t>$721,032.27</w:t>
            </w:r>
          </w:p>
        </w:tc>
        <w:tc>
          <w:tcPr>
            <w:tcW w:type="dxa" w:w="2011"/>
          </w:tcPr>
          <w:p>
            <w:pPr>
              <w:spacing w:after="0"/>
              <w:jc w:val="right"/>
            </w:pPr>
            <w:r>
              <w:rPr>
                <w:sz w:val="16"/>
              </w:rPr>
              <w:t>24; 0</w:t>
            </w:r>
          </w:p>
        </w:tc>
        <w:tc>
          <w:tcPr>
            <w:tcW w:type="dxa" w:w="3277"/>
          </w:tcPr>
          <w:p>
            <w:pPr>
              <w:spacing w:after="0"/>
              <w:jc w:val="left"/>
            </w:pPr>
            <w:r>
              <w:rPr>
                <w:sz w:val="16"/>
              </w:rPr>
              <w:t>Includes $86,369.36 for declarations not counted as hazard incidents (DR-1951-VT,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Essex town</w:t>
            </w:r>
          </w:p>
        </w:tc>
        <w:tc>
          <w:tcPr>
            <w:tcW w:type="dxa" w:w="1570"/>
          </w:tcPr>
          <w:p>
            <w:pPr>
              <w:spacing w:after="0"/>
              <w:jc w:val="left"/>
            </w:pPr>
            <w:r>
              <w:rPr>
                <w:sz w:val="16"/>
              </w:rPr>
              <w:t>500034</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Essex town, VT: risk-assessment baseline packet, release 2026-10 (data as of 2026-09-28; Vermont town 5000724175).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hazard-plain_2026-10_VT_5000724175.docx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town, VT: Risk-assessment baseline packet</dc:title>
  <dc:subject>Hazard Plain release 2026-10, as of 2026-09-28. Preview: automated baseline</dc:subject>
  <dc:creator>Hazard Plain</dc:creator>
  <cp:keywords>Hazard Plain; hazard mitigation; risk assessment; 5000724175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