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Sutton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5000571575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2026-08-10. Plan: Multi-Jurisdiction Hazard Mitigation Plan Update Towns of Burke, Sheffield, Sutton and Wheelock, Vermont (FEMA plan 107687), approved 2021-08-11.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Caledonia County data (county FIPS 50005; each heading says so); the plan clock, B1-f and B2-c are for Sutton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2021-08-11: 6 new hazard declarations (5 incidents) and 91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5000571575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2026-08-10</w:t>
      </w:r>
    </w:p>
    <w:p>
      <w:pPr>
        <w:keepNext/>
        <w:spacing w:after="40" w:before="0"/>
      </w:pPr>
      <w:r>
        <w:rPr>
          <w:b/>
        </w:rPr>
        <w:t xml:space="preserve">Plan: </w:t>
      </w:r>
      <w:r>
        <w:rPr/>
        <w:t>Multi-Jurisdiction Hazard Mitigation Plan Update Towns of Burke, Sheffield, Sutton and Wheelock, Vermont (FEMA plan 107687)</w:t>
      </w:r>
    </w:p>
    <w:p>
      <w:pPr>
        <w:keepNext/>
        <w:spacing w:after="40" w:before="0"/>
      </w:pPr>
      <w:r>
        <w:rPr>
          <w:b/>
        </w:rPr>
        <w:t xml:space="preserve">Approved: </w:t>
      </w:r>
      <w:r>
        <w:rPr/>
        <w:t>2021-08-11</w:t>
      </w:r>
    </w:p>
    <w:p>
      <w:pPr>
        <w:keepNext/>
        <w:spacing w:after="40" w:before="0"/>
      </w:pPr>
      <w:r>
        <w:rPr>
          <w:b/>
        </w:rPr>
        <w:t xml:space="preserve">Days since expiry: </w:t>
      </w:r>
      <w:r>
        <w:rPr/>
        <w:t>51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EM-3595-VT (Flooding), DR-4720-VT (Severe Storms, Flooding, Landslides, and Mudslides),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(Burke town; Sheffield town; Wheelock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10"/>
        <w:gridCol w:w="858"/>
        <w:gridCol w:w="2674"/>
        <w:gridCol w:w="5039"/>
        <w:gridCol w:w="1373"/>
        <w:gridCol w:w="1373"/>
        <w:gridCol w:w="1184"/>
      </w:tblGrid>
      <w:tr>
        <w:trPr>
          <w:cantSplit/>
          <w:tblHeader/>
        </w:trPr>
        <w:tc>
          <w:tcPr>
            <w:tcW w:type="dxa" w:w="161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5039"/>
            <w:shd w:val="clear" w:color="auto" w:fill="E8E8E8"/>
          </w:tcPr>
          <w:p>
            <w:pPr>
              <w:spacing w:after="0"/>
              <w:jc w:val="left"/>
            </w:pPr>
            <w:r>
              <w:rPr>
                <w:b/>
                <w:sz w:val="16"/>
              </w:rPr>
              <w:t>Plan</w:t>
            </w:r>
          </w:p>
        </w:tc>
        <w:tc>
          <w:tcPr>
            <w:tcW w:type="dxa" w:w="1373"/>
            <w:shd w:val="clear" w:color="auto" w:fill="E8E8E8"/>
          </w:tcPr>
          <w:p>
            <w:pPr>
              <w:spacing w:after="0"/>
              <w:jc w:val="left"/>
            </w:pPr>
            <w:r>
              <w:rPr>
                <w:b/>
                <w:sz w:val="16"/>
              </w:rPr>
              <w:t>Approved</w:t>
            </w:r>
          </w:p>
        </w:tc>
        <w:tc>
          <w:tcPr>
            <w:tcW w:type="dxa" w:w="1373"/>
            <w:shd w:val="clear" w:color="auto" w:fill="E8E8E8"/>
          </w:tcPr>
          <w:p>
            <w:pPr>
              <w:spacing w:after="0"/>
              <w:jc w:val="left"/>
            </w:pPr>
            <w:r>
              <w:rPr>
                <w:b/>
                <w:sz w:val="16"/>
              </w:rPr>
              <w:t>Expires</w:t>
            </w:r>
          </w:p>
        </w:tc>
        <w:tc>
          <w:tcPr>
            <w:tcW w:type="dxa" w:w="11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10"/>
          </w:tcPr>
          <w:p>
            <w:pPr>
              <w:spacing w:after="0"/>
              <w:jc w:val="left"/>
            </w:pPr>
            <w:r>
              <w:rPr>
                <w:sz w:val="16"/>
              </w:rPr>
              <w:t>Sutton town</w:t>
            </w:r>
          </w:p>
        </w:tc>
        <w:tc>
          <w:tcPr>
            <w:tcW w:type="dxa" w:w="858"/>
          </w:tcPr>
          <w:p>
            <w:pPr>
              <w:spacing w:after="0"/>
              <w:jc w:val="left"/>
            </w:pPr>
            <w:r>
              <w:rPr>
                <w:sz w:val="16"/>
              </w:rPr>
              <w:t>Town</w:t>
            </w:r>
          </w:p>
        </w:tc>
        <w:tc>
          <w:tcPr>
            <w:tcW w:type="dxa" w:w="2674"/>
          </w:tcPr>
          <w:p>
            <w:pPr>
              <w:spacing w:after="0"/>
              <w:jc w:val="left"/>
            </w:pPr>
            <w:r>
              <w:rPr>
                <w:sz w:val="16"/>
              </w:rPr>
              <w:t>Expired on 2026-08-10</w:t>
            </w:r>
          </w:p>
        </w:tc>
        <w:tc>
          <w:tcPr>
            <w:tcW w:type="dxa" w:w="5039"/>
          </w:tcPr>
          <w:p>
            <w:pPr>
              <w:spacing w:after="0"/>
              <w:jc w:val="left"/>
            </w:pPr>
            <w:r>
              <w:rPr>
                <w:sz w:val="16"/>
              </w:rPr>
              <w:t>Multi-Jurisdiction Hazard Mitigation Plan Update Towns of Burke, Sheffield, Sutton and Wheelock, Vermont (FEMA plan 107687)</w:t>
            </w:r>
          </w:p>
        </w:tc>
        <w:tc>
          <w:tcPr>
            <w:tcW w:type="dxa" w:w="1373"/>
          </w:tcPr>
          <w:p>
            <w:pPr>
              <w:spacing w:after="0"/>
              <w:jc w:val="left"/>
            </w:pPr>
            <w:r>
              <w:rPr>
                <w:sz w:val="16"/>
              </w:rPr>
              <w:t>2021-08-11</w:t>
            </w:r>
          </w:p>
        </w:tc>
        <w:tc>
          <w:tcPr>
            <w:tcW w:type="dxa" w:w="1373"/>
          </w:tcPr>
          <w:p>
            <w:pPr>
              <w:spacing w:after="0"/>
              <w:jc w:val="left"/>
            </w:pPr>
            <w:r>
              <w:rPr>
                <w:sz w:val="16"/>
              </w:rPr>
              <w:t>2026-08-10</w:t>
            </w:r>
          </w:p>
        </w:tc>
        <w:tc>
          <w:tcPr>
            <w:tcW w:type="dxa" w:w="1184"/>
          </w:tcPr>
          <w:p>
            <w:pPr>
              <w:spacing w:after="0"/>
              <w:jc w:val="right"/>
            </w:pPr>
            <w:r>
              <w:rPr>
                <w:sz w:val="16"/>
              </w:rPr>
              <w:t>-51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107687 lists 3 other participants: Burke town; Sheffield town; Wheelock town.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Caledonia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Caledonia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Caledonia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862"/>
        <w:gridCol w:w="1611"/>
        <w:gridCol w:w="1572"/>
        <w:gridCol w:w="1874"/>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2"/>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Where in the county</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27 records, 1996 to 2026 (27 zone-level)</w:t>
            </w:r>
          </w:p>
        </w:tc>
        <w:tc>
          <w:tcPr>
            <w:tcW w:type="dxa" w:w="1862"/>
          </w:tcPr>
          <w:p>
            <w:pPr>
              <w:spacing w:after="0"/>
              <w:jc w:val="left"/>
            </w:pPr>
            <w:r>
              <w:rPr>
                <w:sz w:val="16"/>
              </w:rPr>
              <w:t>1 day to 28 days (median 2 days); 26 with a recorded value</w:t>
            </w:r>
          </w:p>
        </w:tc>
        <w:tc>
          <w:tcPr>
            <w:tcW w:type="dxa" w:w="1611"/>
          </w:tcPr>
          <w:p>
            <w:pPr>
              <w:spacing w:after="0"/>
              <w:jc w:val="left"/>
            </w:pPr>
            <w:r>
              <w:rPr>
                <w:sz w:val="16"/>
              </w:rPr>
              <w:t>February 2015 (1 monthly summary record), zone-level</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3 records, 2005 to 2023 (3 zone-level)</w:t>
            </w:r>
          </w:p>
        </w:tc>
        <w:tc>
          <w:tcPr>
            <w:tcW w:type="dxa" w:w="1862"/>
          </w:tcPr>
          <w:p>
            <w:pPr>
              <w:spacing w:after="0"/>
              <w:jc w:val="left"/>
            </w:pPr>
          </w:p>
        </w:tc>
        <w:tc>
          <w:tcPr>
            <w:tcW w:type="dxa" w:w="1611"/>
          </w:tcPr>
          <w:p>
            <w:pPr>
              <w:spacing w:after="0"/>
              <w:jc w:val="left"/>
            </w:pPr>
            <w:r>
              <w:rPr>
                <w:sz w:val="16"/>
              </w:rPr>
              <w:t>Frost/Freeze, 2023-05-18, $150,000 crop damage (2023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64 records, 1964 to 2023</w:t>
            </w:r>
          </w:p>
        </w:tc>
        <w:tc>
          <w:tcPr>
            <w:tcW w:type="dxa" w:w="1862"/>
          </w:tcPr>
          <w:p>
            <w:pPr>
              <w:spacing w:after="0"/>
              <w:jc w:val="left"/>
            </w:pPr>
            <w:r>
              <w:rPr>
                <w:sz w:val="16"/>
              </w:rPr>
              <w:t>0.75 in to 1.75 in (median 1 in); 61 with a recorded value</w:t>
            </w:r>
          </w:p>
        </w:tc>
        <w:tc>
          <w:tcPr>
            <w:tcW w:type="dxa" w:w="1611"/>
          </w:tcPr>
          <w:p>
            <w:pPr>
              <w:spacing w:after="0"/>
              <w:jc w:val="left"/>
            </w:pPr>
            <w:r>
              <w:rPr>
                <w:sz w:val="16"/>
              </w:rPr>
              <w:t>1.75 in hail, 2016-07-18; same size also recorded on 1979-06-05, 1998-09-21, 2000-05-07, 2010-06-05, 2011-05-26</w:t>
            </w:r>
          </w:p>
        </w:tc>
        <w:tc>
          <w:tcPr>
            <w:tcW w:type="dxa" w:w="1572"/>
          </w:tcPr>
          <w:p>
            <w:pPr>
              <w:spacing w:after="0"/>
              <w:jc w:val="left"/>
            </w:pPr>
            <w:r>
              <w:rPr>
                <w:sz w:val="16"/>
              </w:rPr>
              <w:t>Hail, 2011-05-26, $50,000 property; $0 crops (2011 dollars)</w:t>
            </w:r>
          </w:p>
        </w:tc>
        <w:tc>
          <w:tcPr>
            <w:tcW w:type="dxa" w:w="1874"/>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9 records, 1996 to 2025 (9 zone-level)</w:t>
            </w:r>
          </w:p>
        </w:tc>
        <w:tc>
          <w:tcPr>
            <w:tcW w:type="dxa" w:w="1862"/>
          </w:tcPr>
          <w:p>
            <w:pPr>
              <w:spacing w:after="0"/>
              <w:jc w:val="left"/>
            </w:pPr>
            <w:r>
              <w:rPr>
                <w:sz w:val="16"/>
              </w:rPr>
              <w:t>1 day to 6 days (median 2 days); 5 with a recorded value</w:t>
            </w:r>
          </w:p>
        </w:tc>
        <w:tc>
          <w:tcPr>
            <w:tcW w:type="dxa" w:w="1611"/>
          </w:tcPr>
          <w:p>
            <w:pPr>
              <w:spacing w:after="0"/>
              <w:jc w:val="left"/>
            </w:pPr>
            <w:r>
              <w:rPr>
                <w:sz w:val="16"/>
              </w:rPr>
              <w:t>6 consecutive days, 2020-06-18 to 2020-06-23, zone-level</w:t>
            </w:r>
          </w:p>
        </w:tc>
        <w:tc>
          <w:tcPr>
            <w:tcW w:type="dxa" w:w="1572"/>
          </w:tcPr>
          <w:p>
            <w:pPr>
              <w:spacing w:after="0"/>
              <w:jc w:val="left"/>
            </w:pPr>
            <w:r>
              <w:rPr>
                <w:sz w:val="16"/>
              </w:rPr>
              <w:t>Heat, 2012-03-17, $0 property; $750,000 crops (zone total, 2012 dollars)</w:t>
            </w:r>
          </w:p>
        </w:tc>
        <w:tc>
          <w:tcPr>
            <w:tcW w:type="dxa" w:w="1874"/>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1 record, 1998 (1 zone-level)</w:t>
            </w:r>
          </w:p>
        </w:tc>
        <w:tc>
          <w:tcPr>
            <w:tcW w:type="dxa" w:w="1862"/>
          </w:tcPr>
          <w:p>
            <w:pPr>
              <w:spacing w:after="0"/>
              <w:jc w:val="left"/>
            </w:pPr>
          </w:p>
        </w:tc>
        <w:tc>
          <w:tcPr>
            <w:tcW w:type="dxa" w:w="1611"/>
          </w:tcPr>
          <w:p>
            <w:pPr>
              <w:spacing w:after="0"/>
              <w:jc w:val="left"/>
            </w:pPr>
            <w:r>
              <w:rPr>
                <w:sz w:val="16"/>
              </w:rPr>
              <w:t>Ice Storm, 1998-01-06, $80,000 property; crops not reported (1998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66 records, 1996 to 2026 (11 zone-level)</w:t>
            </w:r>
          </w:p>
        </w:tc>
        <w:tc>
          <w:tcPr>
            <w:tcW w:type="dxa" w:w="1862"/>
          </w:tcPr>
          <w:p>
            <w:pPr>
              <w:spacing w:after="0"/>
              <w:jc w:val="left"/>
            </w:pPr>
          </w:p>
        </w:tc>
        <w:tc>
          <w:tcPr>
            <w:tcW w:type="dxa" w:w="1611"/>
          </w:tcPr>
          <w:p>
            <w:pPr>
              <w:spacing w:after="0"/>
              <w:jc w:val="left"/>
            </w:pPr>
            <w:r>
              <w:rPr>
                <w:sz w:val="16"/>
              </w:rPr>
              <w:t>Flood, 2011-08-28, $4,000,000 property; $1,000,000 crops (2011 dollars)</w:t>
            </w:r>
          </w:p>
        </w:tc>
        <w:tc>
          <w:tcPr>
            <w:tcW w:type="dxa" w:w="1572"/>
          </w:tcPr>
          <w:p>
            <w:pPr>
              <w:spacing w:after="0"/>
              <w:jc w:val="left"/>
            </w:pPr>
          </w:p>
        </w:tc>
        <w:tc>
          <w:tcPr>
            <w:tcW w:type="dxa" w:w="1874"/>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10 records, 1999 to 2014</w:t>
            </w:r>
          </w:p>
        </w:tc>
        <w:tc>
          <w:tcPr>
            <w:tcW w:type="dxa" w:w="1862"/>
          </w:tcPr>
          <w:p>
            <w:pPr>
              <w:spacing w:after="0"/>
              <w:jc w:val="left"/>
            </w:pPr>
          </w:p>
        </w:tc>
        <w:tc>
          <w:tcPr>
            <w:tcW w:type="dxa" w:w="1611"/>
          </w:tcPr>
          <w:p>
            <w:pPr>
              <w:spacing w:after="0"/>
              <w:jc w:val="left"/>
            </w:pPr>
            <w:r>
              <w:rPr>
                <w:sz w:val="16"/>
              </w:rPr>
              <w:t>Lightning, 2007-05-11, $150,000 property; $0 crops (2007 dollars)</w:t>
            </w:r>
          </w:p>
        </w:tc>
        <w:tc>
          <w:tcPr>
            <w:tcW w:type="dxa" w:w="1572"/>
          </w:tcPr>
          <w:p>
            <w:pPr>
              <w:spacing w:after="0"/>
              <w:jc w:val="left"/>
            </w:pPr>
          </w:p>
        </w:tc>
        <w:tc>
          <w:tcPr>
            <w:tcW w:type="dxa" w:w="1874"/>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45 records, 1996 to 2026 (45 zone-level)</w:t>
            </w:r>
          </w:p>
        </w:tc>
        <w:tc>
          <w:tcPr>
            <w:tcW w:type="dxa" w:w="1862"/>
          </w:tcPr>
          <w:p>
            <w:pPr>
              <w:spacing w:after="0"/>
              <w:jc w:val="left"/>
            </w:pPr>
            <w:r>
              <w:rPr>
                <w:sz w:val="16"/>
              </w:rPr>
              <w:t>35 kt (40 mph) to 60 kt (69 mph) (median 43 kt (49 mph)); 39 with a recorded value</w:t>
            </w:r>
          </w:p>
        </w:tc>
        <w:tc>
          <w:tcPr>
            <w:tcW w:type="dxa" w:w="1611"/>
          </w:tcPr>
          <w:p>
            <w:pPr>
              <w:spacing w:after="0"/>
              <w:jc w:val="left"/>
            </w:pPr>
            <w:r>
              <w:rPr>
                <w:sz w:val="16"/>
              </w:rPr>
              <w:t>60 kt (69 mph) estimated gust, High Wind, 2007-04-16;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166 records, 1976 to 2025</w:t>
            </w:r>
          </w:p>
        </w:tc>
        <w:tc>
          <w:tcPr>
            <w:tcW w:type="dxa" w:w="1862"/>
          </w:tcPr>
          <w:p>
            <w:pPr>
              <w:spacing w:after="0"/>
              <w:jc w:val="left"/>
            </w:pPr>
            <w:r>
              <w:rPr>
                <w:sz w:val="16"/>
              </w:rPr>
              <w:t>50 kt (58 mph) to 70 kt (81 mph) (median 50 kt (58 mph)); 114 with a recorded value</w:t>
            </w:r>
          </w:p>
        </w:tc>
        <w:tc>
          <w:tcPr>
            <w:tcW w:type="dxa" w:w="1611"/>
          </w:tcPr>
          <w:p>
            <w:pPr>
              <w:spacing w:after="0"/>
              <w:jc w:val="left"/>
            </w:pPr>
            <w:r>
              <w:rPr>
                <w:sz w:val="16"/>
              </w:rPr>
              <w:t>70 kt (81 mph) estimated gust, Thunderstorm Wind, 2012-07-04; same speed and measurement basis also recorded on 2006-07-18</w:t>
            </w:r>
          </w:p>
        </w:tc>
        <w:tc>
          <w:tcPr>
            <w:tcW w:type="dxa" w:w="1572"/>
          </w:tcPr>
          <w:p>
            <w:pPr>
              <w:spacing w:after="0"/>
              <w:jc w:val="left"/>
            </w:pPr>
            <w:r>
              <w:rPr>
                <w:sz w:val="16"/>
              </w:rPr>
              <w:t>Thunderstorm Wind, 2000-05-09, $200,000 property; crops not reported (2000 dollars)</w:t>
            </w:r>
          </w:p>
        </w:tc>
        <w:tc>
          <w:tcPr>
            <w:tcW w:type="dxa" w:w="1874"/>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1 record, 2010</w:t>
            </w:r>
          </w:p>
        </w:tc>
        <w:tc>
          <w:tcPr>
            <w:tcW w:type="dxa" w:w="1862"/>
          </w:tcPr>
          <w:p>
            <w:pPr>
              <w:spacing w:after="0"/>
              <w:jc w:val="left"/>
            </w:pPr>
            <w:r>
              <w:rPr>
                <w:sz w:val="16"/>
              </w:rPr>
              <w:t>F/EF0; 1 with a recorded value</w:t>
            </w:r>
          </w:p>
        </w:tc>
        <w:tc>
          <w:tcPr>
            <w:tcW w:type="dxa" w:w="1611"/>
          </w:tcPr>
          <w:p>
            <w:pPr>
              <w:spacing w:after="0"/>
              <w:jc w:val="left"/>
            </w:pPr>
            <w:r>
              <w:rPr>
                <w:sz w:val="16"/>
              </w:rPr>
              <w:t>EF0 tornado, 2010-08-03, 0.14 mi within this county, 50 yd wide, $25,000 property; $0 crops (2010 dollars)</w:t>
            </w:r>
          </w:p>
        </w:tc>
        <w:tc>
          <w:tcPr>
            <w:tcW w:type="dxa" w:w="1572"/>
          </w:tcPr>
          <w:p>
            <w:pPr>
              <w:spacing w:after="0"/>
              <w:jc w:val="left"/>
            </w:pPr>
          </w:p>
        </w:tc>
        <w:tc>
          <w:tcPr>
            <w:tcW w:type="dxa" w:w="1874"/>
          </w:tcPr>
          <w:p>
            <w:pPr>
              <w:spacing w:after="0"/>
              <w:jc w:val="left"/>
            </w:pPr>
            <w:r>
              <w:rPr>
                <w:sz w:val="16"/>
              </w:rPr>
              <w:t>Event records naming places in the county: Peacham town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319 records, 1996 to 2026 (319 zone-level)</w:t>
            </w:r>
          </w:p>
        </w:tc>
        <w:tc>
          <w:tcPr>
            <w:tcW w:type="dxa" w:w="1862"/>
          </w:tcPr>
          <w:p>
            <w:pPr>
              <w:spacing w:after="0"/>
              <w:jc w:val="left"/>
            </w:pPr>
          </w:p>
        </w:tc>
        <w:tc>
          <w:tcPr>
            <w:tcW w:type="dxa" w:w="1611"/>
          </w:tcPr>
          <w:p>
            <w:pPr>
              <w:spacing w:after="0"/>
              <w:jc w:val="left"/>
            </w:pPr>
            <w:r>
              <w:rPr>
                <w:sz w:val="16"/>
              </w:rPr>
              <w:t>Heavy Snow, 2007-02-14, $200,000 property; $0 crops (2007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Caledonia County (federal declarations, statewide declarations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42"/>
        <w:gridCol w:w="2215"/>
        <w:gridCol w:w="2643"/>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$6,540,800.53</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4"/>
          </w:tcPr>
          <w:p>
            <w:pPr>
              <w:spacing w:after="0"/>
              <w:jc w:val="left"/>
            </w:pPr>
            <w:r>
              <w:rPr>
                <w:sz w:val="16"/>
              </w:rPr>
              <w:t>Major disaster</w:t>
            </w:r>
          </w:p>
        </w:tc>
        <w:tc>
          <w:tcPr>
            <w:tcW w:type="dxa" w:w="2542"/>
          </w:tcPr>
          <w:p>
            <w:pPr>
              <w:spacing w:after="0"/>
              <w:jc w:val="left"/>
            </w:pPr>
            <w:r>
              <w:rPr>
                <w:sz w:val="16"/>
              </w:rPr>
              <w:t>Severe Storm, Flooding, Landslides, and Mudslides</w:t>
            </w:r>
          </w:p>
        </w:tc>
        <w:tc>
          <w:tcPr>
            <w:tcW w:type="dxa" w:w="2215"/>
          </w:tcPr>
          <w:p>
            <w:pPr>
              <w:spacing w:after="0"/>
              <w:jc w:val="left"/>
            </w:pPr>
            <w:r>
              <w:rPr>
                <w:sz w:val="16"/>
              </w:rPr>
              <w:t>Inland Flooding; Landslide</w:t>
            </w:r>
          </w:p>
        </w:tc>
        <w:tc>
          <w:tcPr>
            <w:tcW w:type="dxa" w:w="2643"/>
          </w:tcPr>
          <w:p>
            <w:pPr>
              <w:spacing w:after="0"/>
              <w:jc w:val="right"/>
            </w:pPr>
            <w:r>
              <w:rPr>
                <w:sz w:val="16"/>
              </w:rPr>
              <w:t>$15,852,841.19</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542"/>
          </w:tcPr>
          <w:p>
            <w:pPr>
              <w:spacing w:after="0"/>
              <w:jc w:val="left"/>
            </w:pPr>
            <w:r>
              <w:rPr>
                <w:sz w:val="16"/>
              </w:rPr>
              <w:t>Tropical Depression Debby</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$9,868,285.55</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542"/>
          </w:tcPr>
          <w:p>
            <w:pPr>
              <w:spacing w:after="0"/>
              <w:jc w:val="left"/>
            </w:pPr>
            <w:r>
              <w:rPr>
                <w:sz w:val="16"/>
              </w:rPr>
              <w:t>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542"/>
          </w:tcPr>
          <w:p>
            <w:pPr>
              <w:spacing w:after="0"/>
              <w:jc w:val="left"/>
            </w:pPr>
            <w:r>
              <w:rPr>
                <w:sz w:val="16"/>
              </w:rPr>
              <w:t>Tropical Storm Henri</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542"/>
          </w:tcPr>
          <w:p>
            <w:pPr>
              <w:spacing w:after="0"/>
              <w:jc w:val="left"/>
            </w:pPr>
            <w:r>
              <w:rPr>
                <w:sz w:val="16"/>
              </w:rPr>
              <w:t>COVID-19 Pandemic</w:t>
            </w:r>
          </w:p>
        </w:tc>
        <w:tc>
          <w:tcPr>
            <w:tcW w:type="dxa" w:w="2215"/>
          </w:tcPr>
          <w:p>
            <w:pPr>
              <w:spacing w:after="0"/>
              <w:jc w:val="left"/>
            </w:pPr>
            <w:r>
              <w:rPr>
                <w:sz w:val="16"/>
              </w:rPr>
              <w:t>Non-natural, not counted</w:t>
            </w:r>
          </w:p>
        </w:tc>
        <w:tc>
          <w:tcPr>
            <w:tcW w:type="dxa" w:w="2643"/>
          </w:tcPr>
          <w:p>
            <w:pPr>
              <w:spacing w:after="0"/>
              <w:jc w:val="right"/>
            </w:pPr>
            <w:r>
              <w:rPr>
                <w:sz w:val="16"/>
              </w:rPr>
              <w:t>$400,670.88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542"/>
          </w:tcPr>
          <w:p>
            <w:pPr>
              <w:spacing w:after="0"/>
              <w:jc w:val="left"/>
            </w:pPr>
            <w:r>
              <w:rPr>
                <w:sz w:val="16"/>
              </w:rPr>
              <w:t>COVID-19</w:t>
            </w:r>
          </w:p>
        </w:tc>
        <w:tc>
          <w:tcPr>
            <w:tcW w:type="dxa" w:w="221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$371,916.61</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$45,601.87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542"/>
          </w:tcPr>
          <w:p>
            <w:pPr>
              <w:spacing w:after="0"/>
              <w:jc w:val="left"/>
            </w:pPr>
            <w:r>
              <w:rPr>
                <w:sz w:val="16"/>
              </w:rPr>
              <w:t>Severe Winter Storms</w:t>
            </w:r>
          </w:p>
        </w:tc>
        <w:tc>
          <w:tcPr>
            <w:tcW w:type="dxa" w:w="2215"/>
          </w:tcPr>
          <w:p>
            <w:pPr>
              <w:spacing w:after="0"/>
              <w:jc w:val="left"/>
            </w:pPr>
            <w:r>
              <w:rPr>
                <w:sz w:val="16"/>
              </w:rPr>
              <w:t>Ice Storm</w:t>
            </w:r>
          </w:p>
        </w:tc>
        <w:tc>
          <w:tcPr>
            <w:tcW w:type="dxa" w:w="2643"/>
          </w:tcPr>
          <w:p>
            <w:pPr>
              <w:spacing w:after="0"/>
              <w:jc w:val="right"/>
            </w:pPr>
            <w:r>
              <w:rPr>
                <w:sz w:val="16"/>
              </w:rPr>
              <w:t>$48,694.83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$229,521.78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542"/>
          </w:tcPr>
          <w:p>
            <w:pPr>
              <w:spacing w:after="0"/>
              <w:jc w:val="left"/>
            </w:pPr>
            <w:r>
              <w:rPr>
                <w:sz w:val="16"/>
              </w:rPr>
              <w:t>Tropical Storm Irene</w:t>
            </w:r>
          </w:p>
        </w:tc>
        <w:tc>
          <w:tcPr>
            <w:tcW w:type="dxa" w:w="2215"/>
          </w:tcPr>
          <w:p>
            <w:pPr>
              <w:spacing w:after="0"/>
              <w:jc w:val="left"/>
            </w:pPr>
            <w:r>
              <w:rPr>
                <w:sz w:val="16"/>
              </w:rPr>
              <w:t>Hurricane</w:t>
            </w:r>
          </w:p>
        </w:tc>
        <w:tc>
          <w:tcPr>
            <w:tcW w:type="dxa" w:w="2643"/>
          </w:tcPr>
          <w:p>
            <w:pPr>
              <w:spacing w:after="0"/>
              <w:jc w:val="right"/>
            </w:pPr>
            <w:r>
              <w:rPr>
                <w:sz w:val="16"/>
              </w:rPr>
              <w:t>$1,691,755.43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542"/>
          </w:tcPr>
          <w:p>
            <w:pPr>
              <w:spacing w:after="0"/>
              <w:jc w:val="left"/>
            </w:pPr>
            <w:r>
              <w:rPr>
                <w:sz w:val="16"/>
              </w:rPr>
              <w:t>Hurricane Irene</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$2,799,333.44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$587,185.48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4"/>
          </w:tcPr>
          <w:p>
            <w:pPr>
              <w:spacing w:after="0"/>
              <w:jc w:val="left"/>
            </w:pPr>
            <w:r>
              <w:rPr>
                <w:sz w:val="16"/>
              </w:rPr>
              <w:t>Major disaster</w:t>
            </w:r>
          </w:p>
        </w:tc>
        <w:tc>
          <w:tcPr>
            <w:tcW w:type="dxa" w:w="2542"/>
          </w:tcPr>
          <w:p>
            <w:pPr>
              <w:spacing w:after="0"/>
              <w:jc w:val="left"/>
            </w:pPr>
            <w:r>
              <w:rPr>
                <w:sz w:val="16"/>
              </w:rPr>
              <w:t>Severe Storms, a Tornado, and Flooding</w:t>
            </w:r>
          </w:p>
        </w:tc>
        <w:tc>
          <w:tcPr>
            <w:tcW w:type="dxa" w:w="2215"/>
          </w:tcPr>
          <w:p>
            <w:pPr>
              <w:spacing w:after="0"/>
              <w:jc w:val="left"/>
            </w:pPr>
            <w:r>
              <w:rPr>
                <w:sz w:val="16"/>
              </w:rPr>
              <w:t>Inland Flooding; Tornado</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$199,439.24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$116,080.23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$353,983.17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$413,886.69</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4"/>
          </w:tcPr>
          <w:p>
            <w:pPr>
              <w:spacing w:after="0"/>
              <w:jc w:val="left"/>
            </w:pPr>
            <w:r>
              <w:rPr>
                <w:sz w:val="16"/>
              </w:rPr>
              <w:t>Major disaster</w:t>
            </w:r>
          </w:p>
        </w:tc>
        <w:tc>
          <w:tcPr>
            <w:tcW w:type="dxa" w:w="2542"/>
          </w:tcPr>
          <w:p>
            <w:pPr>
              <w:spacing w:after="0"/>
              <w:jc w:val="left"/>
            </w:pPr>
            <w:r>
              <w:rPr>
                <w:sz w:val="16"/>
              </w:rPr>
              <w:t>Tropical Storm Floyd</w:t>
            </w:r>
          </w:p>
        </w:tc>
        <w:tc>
          <w:tcPr>
            <w:tcW w:type="dxa" w:w="2215"/>
          </w:tcPr>
          <w:p>
            <w:pPr>
              <w:spacing w:after="0"/>
              <w:jc w:val="left"/>
            </w:pPr>
            <w:r>
              <w:rPr>
                <w:sz w:val="16"/>
              </w:rPr>
              <w:t>Hurricane; Inland Flooding</w:t>
            </w:r>
          </w:p>
        </w:tc>
        <w:tc>
          <w:tcPr>
            <w:tcW w:type="dxa" w:w="2643"/>
          </w:tcPr>
          <w:p>
            <w:pPr>
              <w:spacing w:after="0"/>
              <w:jc w:val="right"/>
            </w:pPr>
            <w:r>
              <w:rPr>
                <w:sz w:val="16"/>
              </w:rPr>
              <w:t>$52,362.06</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542"/>
          </w:tcPr>
          <w:p>
            <w:pPr>
              <w:spacing w:after="0"/>
              <w:jc w:val="left"/>
            </w:pPr>
            <w:r>
              <w:rPr>
                <w:sz w:val="16"/>
              </w:rPr>
              <w:t>Excessive Rainfall, High Winds,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4"/>
          </w:tcPr>
          <w:p>
            <w:pPr>
              <w:spacing w:after="0"/>
              <w:jc w:val="left"/>
            </w:pPr>
            <w:r>
              <w:rPr>
                <w:sz w:val="16"/>
              </w:rPr>
              <w:t>Major disaster</w:t>
            </w:r>
          </w:p>
        </w:tc>
        <w:tc>
          <w:tcPr>
            <w:tcW w:type="dxa" w:w="2542"/>
          </w:tcPr>
          <w:p>
            <w:pPr>
              <w:spacing w:after="0"/>
              <w:jc w:val="left"/>
            </w:pPr>
            <w:r>
              <w:rPr>
                <w:sz w:val="16"/>
              </w:rPr>
              <w:t>Excessive Rainfall,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4"/>
          </w:tcPr>
          <w:p>
            <w:pPr>
              <w:spacing w:after="0"/>
              <w:jc w:val="left"/>
            </w:pPr>
            <w:r>
              <w:rPr>
                <w:sz w:val="16"/>
              </w:rPr>
              <w:t>Major disaster</w:t>
            </w:r>
          </w:p>
        </w:tc>
        <w:tc>
          <w:tcPr>
            <w:tcW w:type="dxa" w:w="2542"/>
          </w:tcPr>
          <w:p>
            <w:pPr>
              <w:spacing w:after="0"/>
              <w:jc w:val="left"/>
            </w:pPr>
            <w:r>
              <w:rPr>
                <w:sz w:val="16"/>
              </w:rPr>
              <w:t>Heavy Rains, Ice Jams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542"/>
          </w:tcPr>
          <w:p>
            <w:pPr>
              <w:spacing w:after="0"/>
              <w:jc w:val="left"/>
            </w:pPr>
            <w:r>
              <w:rPr>
                <w:sz w:val="16"/>
              </w:rPr>
              <w:t>Severe Storms, High Winds &amp; Flooding</w:t>
            </w:r>
          </w:p>
        </w:tc>
        <w:tc>
          <w:tcPr>
            <w:tcW w:type="dxa" w:w="2215"/>
          </w:tcPr>
          <w:p>
            <w:pPr>
              <w:spacing w:after="0"/>
              <w:jc w:val="left"/>
            </w:pPr>
            <w:r>
              <w:rPr>
                <w:sz w:val="16"/>
              </w:rPr>
              <w:t>Inland Flooding (primary); also designated: Strong Wind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542"/>
          </w:tcPr>
          <w:p>
            <w:pPr>
              <w:spacing w:after="0"/>
              <w:jc w:val="left"/>
            </w:pPr>
            <w:r>
              <w:rPr>
                <w:sz w:val="16"/>
              </w:rPr>
              <w:t>Severe Storms, Flooding, &amp; Landslides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20</w:t>
            </w:r>
          </w:p>
        </w:tc>
        <w:tc>
          <w:tcPr>
            <w:tcW w:type="dxa" w:w="2116"/>
          </w:tcPr>
          <w:p>
            <w:pPr>
              <w:spacing w:after="0"/>
              <w:jc w:val="right"/>
            </w:pPr>
            <w:r>
              <w:rPr>
                <w:sz w:val="16"/>
              </w:rPr>
              <w:t>0</w:t>
            </w: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r>
              <w:rPr>
                <w:sz w:val="16"/>
              </w:rPr>
              <w:t>17</w:t>
            </w:r>
          </w:p>
        </w:tc>
        <w:tc>
          <w:tcPr>
            <w:tcW w:type="dxa" w:w="2116"/>
          </w:tcPr>
          <w:p>
            <w:pPr>
              <w:spacing w:after="0"/>
              <w:jc w:val="right"/>
            </w:pPr>
            <w:r>
              <w:rPr>
                <w:sz w:val="16"/>
              </w:rPr>
              <w:t>5</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r>
              <w:rPr>
                <w:sz w:val="16"/>
              </w:rPr>
              <w:t>43</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7"/>
        <w:gridCol w:w="2854"/>
        <w:gridCol w:w="924"/>
        <w:gridCol w:w="2331"/>
        <w:gridCol w:w="2084"/>
        <w:gridCol w:w="2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7"/>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Flags</w:t>
            </w:r>
          </w:p>
        </w:tc>
        <w:tc>
          <w:tcPr>
            <w:tcW w:type="dxa" w:w="2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$500,000 property; $0 crops (2024 dollars)</w:t>
            </w:r>
          </w:p>
        </w:tc>
        <w:tc>
          <w:tcPr>
            <w:tcW w:type="dxa" w:w="924"/>
          </w:tcPr>
          <w:p>
            <w:pPr>
              <w:spacing w:after="0"/>
              <w:jc w:val="right"/>
            </w:pPr>
            <w:r>
              <w:rPr>
                <w:sz w:val="16"/>
              </w:rPr>
              <w:t>1, 0</w:t>
            </w:r>
          </w:p>
        </w:tc>
        <w:tc>
          <w:tcPr>
            <w:tcW w:type="dxa" w:w="2331"/>
          </w:tcPr>
          <w:p>
            <w:pPr>
              <w:spacing w:after="0"/>
              <w:jc w:val="left"/>
            </w:pPr>
            <w:r>
              <w:rPr>
                <w:sz w:val="16"/>
              </w:rPr>
              <w:t>RICKER MILLS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$3,000,000 property; $0 crops (2024 dollars)</w:t>
            </w:r>
          </w:p>
        </w:tc>
        <w:tc>
          <w:tcPr>
            <w:tcW w:type="dxa" w:w="924"/>
          </w:tcPr>
          <w:p>
            <w:pPr>
              <w:spacing w:after="0"/>
              <w:jc w:val="right"/>
            </w:pPr>
            <w:r>
              <w:rPr>
                <w:sz w:val="16"/>
              </w:rPr>
              <w:t>1, 0</w:t>
            </w:r>
          </w:p>
        </w:tc>
        <w:tc>
          <w:tcPr>
            <w:tcW w:type="dxa" w:w="2331"/>
          </w:tcPr>
          <w:p>
            <w:pPr>
              <w:spacing w:after="0"/>
              <w:jc w:val="left"/>
            </w:pPr>
            <w:r>
              <w:rPr>
                <w:sz w:val="16"/>
              </w:rPr>
              <w:t>SOUTH PEACHAM to MC INDOE FALLS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$1,000,000 property; $0 crops (2024 dollars)</w:t>
            </w:r>
          </w:p>
        </w:tc>
        <w:tc>
          <w:tcPr>
            <w:tcW w:type="dxa" w:w="924"/>
          </w:tcPr>
          <w:p>
            <w:pPr>
              <w:spacing w:after="0"/>
              <w:jc w:val="right"/>
            </w:pPr>
            <w:r>
              <w:rPr>
                <w:sz w:val="16"/>
              </w:rPr>
              <w:t>1, 0</w:t>
            </w:r>
          </w:p>
        </w:tc>
        <w:tc>
          <w:tcPr>
            <w:tcW w:type="dxa" w:w="2331"/>
          </w:tcPr>
          <w:p>
            <w:pPr>
              <w:spacing w:after="0"/>
              <w:jc w:val="left"/>
            </w:pPr>
            <w:r>
              <w:rPr>
                <w:sz w:val="16"/>
              </w:rPr>
              <w:t>NORTH DANVILLE to ST JOHNSBURY CENTER</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47"/>
          </w:tcPr>
          <w:p>
            <w:pPr>
              <w:spacing w:after="0"/>
              <w:jc w:val="left"/>
            </w:pPr>
          </w:p>
        </w:tc>
        <w:tc>
          <w:tcPr>
            <w:tcW w:type="dxa" w:w="2854"/>
          </w:tcPr>
          <w:p>
            <w:pPr>
              <w:spacing w:after="0"/>
              <w:jc w:val="left"/>
            </w:pPr>
            <w:r>
              <w:rPr>
                <w:sz w:val="16"/>
              </w:rPr>
              <w:t>$0 property; $150,000 crops (zone total, 2023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r>
              <w:rPr>
                <w:sz w:val="16"/>
              </w:rPr>
              <w:t>new since last plan; within last 5 years</w:t>
            </w:r>
          </w:p>
        </w:tc>
        <w:tc>
          <w:tcPr>
            <w:tcW w:type="dxa" w:w="2620"/>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047"/>
          </w:tcPr>
          <w:p>
            <w:pPr>
              <w:spacing w:after="0"/>
              <w:jc w:val="left"/>
            </w:pPr>
          </w:p>
        </w:tc>
        <w:tc>
          <w:tcPr>
            <w:tcW w:type="dxa" w:w="2854"/>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47"/>
          </w:tcPr>
          <w:p>
            <w:pPr>
              <w:spacing w:after="0"/>
              <w:jc w:val="left"/>
            </w:pPr>
          </w:p>
        </w:tc>
        <w:tc>
          <w:tcPr>
            <w:tcW w:type="dxa" w:w="2854"/>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047"/>
          </w:tcPr>
          <w:p>
            <w:pPr>
              <w:spacing w:after="0"/>
              <w:jc w:val="left"/>
            </w:pPr>
            <w:r>
              <w:rPr>
                <w:sz w:val="16"/>
              </w:rPr>
              <w:t>70 kt (81 mph) estimated gust</w:t>
            </w:r>
          </w:p>
        </w:tc>
        <w:tc>
          <w:tcPr>
            <w:tcW w:type="dxa" w:w="2854"/>
          </w:tcPr>
          <w:p>
            <w:pPr>
              <w:spacing w:after="0"/>
              <w:jc w:val="left"/>
            </w:pPr>
            <w:r>
              <w:rPr>
                <w:sz w:val="16"/>
              </w:rPr>
              <w:t>$75,000 property; $0 crops (2012 dollars)</w:t>
            </w:r>
          </w:p>
        </w:tc>
        <w:tc>
          <w:tcPr>
            <w:tcW w:type="dxa" w:w="924"/>
          </w:tcPr>
          <w:p>
            <w:pPr>
              <w:spacing w:after="0"/>
              <w:jc w:val="right"/>
            </w:pPr>
            <w:r>
              <w:rPr>
                <w:sz w:val="16"/>
              </w:rPr>
              <w:t>0, 0</w:t>
            </w:r>
          </w:p>
        </w:tc>
        <w:tc>
          <w:tcPr>
            <w:tcW w:type="dxa" w:w="2331"/>
          </w:tcPr>
          <w:p>
            <w:pPr>
              <w:spacing w:after="0"/>
              <w:jc w:val="left"/>
            </w:pPr>
            <w:r>
              <w:rPr>
                <w:sz w:val="16"/>
              </w:rPr>
              <w:t>NOYESVILLE</w:t>
            </w:r>
          </w:p>
        </w:tc>
        <w:tc>
          <w:tcPr>
            <w:tcW w:type="dxa" w:w="2084"/>
          </w:tcPr>
          <w:p>
            <w:pPr>
              <w:spacing w:after="0"/>
              <w:jc w:val="left"/>
            </w:pPr>
          </w:p>
        </w:tc>
        <w:tc>
          <w:tcPr>
            <w:tcW w:type="dxa" w:w="2620"/>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047"/>
          </w:tcPr>
          <w:p>
            <w:pPr>
              <w:spacing w:after="0"/>
              <w:jc w:val="left"/>
            </w:pPr>
          </w:p>
        </w:tc>
        <w:tc>
          <w:tcPr>
            <w:tcW w:type="dxa" w:w="2854"/>
          </w:tcPr>
          <w:p>
            <w:pPr>
              <w:spacing w:after="0"/>
              <w:jc w:val="left"/>
            </w:pPr>
            <w:r>
              <w:rPr>
                <w:sz w:val="16"/>
              </w:rPr>
              <w:t>$4,000,000 property; $1,000,000 crops (2011 dollars)</w:t>
            </w:r>
          </w:p>
        </w:tc>
        <w:tc>
          <w:tcPr>
            <w:tcW w:type="dxa" w:w="924"/>
          </w:tcPr>
          <w:p>
            <w:pPr>
              <w:spacing w:after="0"/>
              <w:jc w:val="right"/>
            </w:pPr>
            <w:r>
              <w:rPr>
                <w:sz w:val="16"/>
              </w:rPr>
              <w:t>0, 0</w:t>
            </w:r>
          </w:p>
        </w:tc>
        <w:tc>
          <w:tcPr>
            <w:tcW w:type="dxa" w:w="2331"/>
          </w:tcPr>
          <w:p>
            <w:pPr>
              <w:spacing w:after="0"/>
              <w:jc w:val="left"/>
            </w:pPr>
            <w:r>
              <w:rPr>
                <w:sz w:val="16"/>
              </w:rPr>
              <w:t>EAST BURKE to EAST RYEGATE</w:t>
            </w:r>
          </w:p>
        </w:tc>
        <w:tc>
          <w:tcPr>
            <w:tcW w:type="dxa" w:w="2084"/>
          </w:tcPr>
          <w:p>
            <w:pPr>
              <w:spacing w:after="0"/>
              <w:jc w:val="left"/>
            </w:pPr>
          </w:p>
        </w:tc>
        <w:tc>
          <w:tcPr>
            <w:tcW w:type="dxa" w:w="2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047"/>
          </w:tcPr>
          <w:p>
            <w:pPr>
              <w:spacing w:after="0"/>
              <w:jc w:val="left"/>
            </w:pPr>
          </w:p>
        </w:tc>
        <w:tc>
          <w:tcPr>
            <w:tcW w:type="dxa" w:w="2854"/>
          </w:tcPr>
          <w:p>
            <w:pPr>
              <w:spacing w:after="0"/>
              <w:jc w:val="left"/>
            </w:pPr>
            <w:r>
              <w:rPr>
                <w:sz w:val="16"/>
              </w:rPr>
              <w:t>$150,000 property; $0 crops (2007 dollars)</w:t>
            </w:r>
          </w:p>
        </w:tc>
        <w:tc>
          <w:tcPr>
            <w:tcW w:type="dxa" w:w="924"/>
          </w:tcPr>
          <w:p>
            <w:pPr>
              <w:spacing w:after="0"/>
              <w:jc w:val="right"/>
            </w:pPr>
            <w:r>
              <w:rPr>
                <w:sz w:val="16"/>
              </w:rPr>
              <w:t>0, 0</w:t>
            </w:r>
          </w:p>
        </w:tc>
        <w:tc>
          <w:tcPr>
            <w:tcW w:type="dxa" w:w="2331"/>
          </w:tcPr>
          <w:p>
            <w:pPr>
              <w:spacing w:after="0"/>
              <w:jc w:val="left"/>
            </w:pPr>
            <w:r>
              <w:rPr>
                <w:sz w:val="16"/>
              </w:rPr>
              <w:t>ST JOHNSBURY CENTER</w:t>
            </w:r>
          </w:p>
        </w:tc>
        <w:tc>
          <w:tcPr>
            <w:tcW w:type="dxa" w:w="2084"/>
          </w:tcPr>
          <w:p>
            <w:pPr>
              <w:spacing w:after="0"/>
              <w:jc w:val="left"/>
            </w:pPr>
          </w:p>
        </w:tc>
        <w:tc>
          <w:tcPr>
            <w:tcW w:type="dxa" w:w="262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047"/>
          </w:tcPr>
          <w:p>
            <w:pPr>
              <w:spacing w:after="0"/>
              <w:jc w:val="left"/>
            </w:pPr>
            <w:r>
              <w:rPr>
                <w:sz w:val="16"/>
              </w:rPr>
              <w:t>60 kt (69 mph) estimated gust</w:t>
            </w: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47"/>
          </w:tcPr>
          <w:p>
            <w:pPr>
              <w:spacing w:after="0"/>
              <w:jc w:val="left"/>
            </w:pP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047"/>
          </w:tcPr>
          <w:p>
            <w:pPr>
              <w:spacing w:after="0"/>
              <w:jc w:val="left"/>
            </w:pPr>
          </w:p>
        </w:tc>
        <w:tc>
          <w:tcPr>
            <w:tcW w:type="dxa" w:w="2854"/>
          </w:tcPr>
          <w:p>
            <w:pPr>
              <w:spacing w:after="0"/>
              <w:jc w:val="left"/>
            </w:pPr>
            <w:r>
              <w:rPr>
                <w:sz w:val="16"/>
              </w:rPr>
              <w:t>$80,000 property; crops not reported (zone total, 1998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Caledonia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4.84</w:t>
            </w:r>
          </w:p>
        </w:tc>
        <w:tc>
          <w:tcPr>
            <w:tcW w:type="dxa" w:w="1380"/>
          </w:tcPr>
          <w:p>
            <w:pPr>
              <w:spacing w:after="0"/>
              <w:jc w:val="left"/>
            </w:pPr>
            <w:r>
              <w:rPr>
                <w:sz w:val="16"/>
              </w:rPr>
              <w:t>event-days per year</w:t>
            </w:r>
          </w:p>
        </w:tc>
        <w:tc>
          <w:tcPr>
            <w:tcW w:type="dxa" w:w="1823"/>
          </w:tcPr>
          <w:p>
            <w:pPr>
              <w:spacing w:after="0"/>
              <w:jc w:val="left"/>
            </w:pPr>
            <w:r>
              <w:rPr>
                <w:sz w:val="16"/>
              </w:rPr>
              <w:t>about 4.84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0.00114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1.16</w:t>
            </w:r>
          </w:p>
        </w:tc>
        <w:tc>
          <w:tcPr>
            <w:tcW w:type="dxa" w:w="1380"/>
          </w:tcPr>
          <w:p>
            <w:pPr>
              <w:spacing w:after="0"/>
              <w:jc w:val="left"/>
            </w:pPr>
            <w:r>
              <w:rPr>
                <w:sz w:val="16"/>
              </w:rPr>
              <w:t>events per year</w:t>
            </w:r>
          </w:p>
        </w:tc>
        <w:tc>
          <w:tcPr>
            <w:tcW w:type="dxa" w:w="1823"/>
          </w:tcPr>
          <w:p>
            <w:pPr>
              <w:spacing w:after="0"/>
              <w:jc w:val="left"/>
            </w:pPr>
            <w:r>
              <w:rPr>
                <w:sz w:val="16"/>
              </w:rPr>
              <w:t>about 1.16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44.0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0.79</w:t>
            </w:r>
          </w:p>
        </w:tc>
        <w:tc>
          <w:tcPr>
            <w:tcW w:type="dxa" w:w="1380"/>
          </w:tcPr>
          <w:p>
            <w:pPr>
              <w:spacing w:after="0"/>
              <w:jc w:val="left"/>
            </w:pPr>
            <w:r>
              <w:rPr>
                <w:sz w:val="16"/>
              </w:rPr>
              <w:t>event-days per year</w:t>
            </w:r>
          </w:p>
        </w:tc>
        <w:tc>
          <w:tcPr>
            <w:tcW w:type="dxa" w:w="1823"/>
          </w:tcPr>
          <w:p>
            <w:pPr>
              <w:spacing w:after="0"/>
              <w:jc w:val="left"/>
            </w:pPr>
            <w:r>
              <w:rPr>
                <w:sz w:val="16"/>
              </w:rPr>
              <w:t>about 0.79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15</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0.0448</w:t>
            </w:r>
          </w:p>
        </w:tc>
        <w:tc>
          <w:tcPr>
            <w:tcW w:type="dxa" w:w="1380"/>
          </w:tcPr>
          <w:p>
            <w:pPr>
              <w:spacing w:after="0"/>
              <w:jc w:val="left"/>
            </w:pPr>
            <w:r>
              <w:rPr>
                <w:sz w:val="16"/>
              </w:rPr>
              <w:t>events per year</w:t>
            </w:r>
          </w:p>
        </w:tc>
        <w:tc>
          <w:tcPr>
            <w:tcW w:type="dxa" w:w="1823"/>
          </w:tcPr>
          <w:p>
            <w:pPr>
              <w:spacing w:after="0"/>
              <w:jc w:val="left"/>
            </w:pPr>
            <w:r>
              <w:rPr>
                <w:sz w:val="16"/>
              </w:rPr>
              <w:t>about 1 in 22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12</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0.439</w:t>
            </w:r>
          </w:p>
        </w:tc>
        <w:tc>
          <w:tcPr>
            <w:tcW w:type="dxa" w:w="1380"/>
          </w:tcPr>
          <w:p>
            <w:pPr>
              <w:spacing w:after="0"/>
              <w:jc w:val="left"/>
            </w:pPr>
            <w:r>
              <w:rPr>
                <w:sz w:val="16"/>
              </w:rPr>
              <w:t>event-days per year</w:t>
            </w:r>
          </w:p>
        </w:tc>
        <w:tc>
          <w:tcPr>
            <w:tcW w:type="dxa" w:w="1823"/>
          </w:tcPr>
          <w:p>
            <w:pPr>
              <w:spacing w:after="0"/>
              <w:jc w:val="left"/>
            </w:pPr>
            <w:r>
              <w:rPr>
                <w:sz w:val="16"/>
              </w:rPr>
              <w:t>about 0.439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30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1.75</w:t>
            </w:r>
          </w:p>
        </w:tc>
        <w:tc>
          <w:tcPr>
            <w:tcW w:type="dxa" w:w="1380"/>
          </w:tcPr>
          <w:p>
            <w:pPr>
              <w:spacing w:after="0"/>
              <w:jc w:val="left"/>
            </w:pPr>
            <w:r>
              <w:rPr>
                <w:sz w:val="16"/>
              </w:rPr>
              <w:t>event-days per year</w:t>
            </w:r>
          </w:p>
        </w:tc>
        <w:tc>
          <w:tcPr>
            <w:tcW w:type="dxa" w:w="1823"/>
          </w:tcPr>
          <w:p>
            <w:pPr>
              <w:spacing w:after="0"/>
              <w:jc w:val="left"/>
            </w:pPr>
            <w:r>
              <w:rPr>
                <w:sz w:val="16"/>
              </w:rPr>
              <w:t>about 1.75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49</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1.1</w:t>
            </w:r>
          </w:p>
        </w:tc>
        <w:tc>
          <w:tcPr>
            <w:tcW w:type="dxa" w:w="1380"/>
          </w:tcPr>
          <w:p>
            <w:pPr>
              <w:spacing w:after="0"/>
              <w:jc w:val="left"/>
            </w:pPr>
            <w:r>
              <w:rPr>
                <w:sz w:val="16"/>
              </w:rPr>
              <w:t>events per year (modeled)</w:t>
            </w:r>
          </w:p>
        </w:tc>
        <w:tc>
          <w:tcPr>
            <w:tcW w:type="dxa" w:w="1823"/>
          </w:tcPr>
          <w:p>
            <w:pPr>
              <w:spacing w:after="0"/>
              <w:jc w:val="left"/>
            </w:pPr>
            <w:r>
              <w:rPr>
                <w:sz w:val="16"/>
              </w:rPr>
              <w:t>about 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20.8</w:t>
            </w:r>
          </w:p>
        </w:tc>
        <w:tc>
          <w:tcPr>
            <w:tcW w:type="dxa" w:w="1380"/>
          </w:tcPr>
          <w:p>
            <w:pPr>
              <w:spacing w:after="0"/>
              <w:jc w:val="left"/>
            </w:pPr>
            <w:r>
              <w:rPr>
                <w:sz w:val="16"/>
              </w:rPr>
              <w:t>days per year with a strike</w:t>
            </w:r>
          </w:p>
        </w:tc>
        <w:tc>
          <w:tcPr>
            <w:tcW w:type="dxa" w:w="1823"/>
          </w:tcPr>
          <w:p>
            <w:pPr>
              <w:spacing w:after="0"/>
              <w:jc w:val="left"/>
            </w:pPr>
            <w:r>
              <w:rPr>
                <w:sz w:val="16"/>
              </w:rPr>
              <w:t>about 20.8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0.691</w:t>
            </w:r>
          </w:p>
        </w:tc>
        <w:tc>
          <w:tcPr>
            <w:tcW w:type="dxa" w:w="1380"/>
          </w:tcPr>
          <w:p>
            <w:pPr>
              <w:spacing w:after="0"/>
              <w:jc w:val="left"/>
            </w:pPr>
            <w:r>
              <w:rPr>
                <w:sz w:val="16"/>
              </w:rPr>
              <w:t>events per year</w:t>
            </w:r>
          </w:p>
        </w:tc>
        <w:tc>
          <w:tcPr>
            <w:tcW w:type="dxa" w:w="1823"/>
          </w:tcPr>
          <w:p>
            <w:pPr>
              <w:spacing w:after="0"/>
              <w:jc w:val="left"/>
            </w:pPr>
            <w:r>
              <w:rPr>
                <w:sz w:val="16"/>
              </w:rPr>
              <w:t>about 0.69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0.0498</w:t>
            </w:r>
          </w:p>
        </w:tc>
        <w:tc>
          <w:tcPr>
            <w:tcW w:type="dxa" w:w="1380"/>
          </w:tcPr>
          <w:p>
            <w:pPr>
              <w:spacing w:after="0"/>
              <w:jc w:val="left"/>
            </w:pPr>
            <w:r>
              <w:rPr>
                <w:sz w:val="16"/>
              </w:rPr>
              <w:t>events per year</w:t>
            </w:r>
          </w:p>
        </w:tc>
        <w:tc>
          <w:tcPr>
            <w:tcW w:type="dxa" w:w="1823"/>
          </w:tcPr>
          <w:p>
            <w:pPr>
              <w:spacing w:after="0"/>
              <w:jc w:val="left"/>
            </w:pPr>
            <w:r>
              <w:rPr>
                <w:sz w:val="16"/>
              </w:rPr>
              <w:t>about 1 in 20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0.00152%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21.1</w:t>
            </w:r>
          </w:p>
        </w:tc>
        <w:tc>
          <w:tcPr>
            <w:tcW w:type="dxa" w:w="1380"/>
          </w:tcPr>
          <w:p>
            <w:pPr>
              <w:spacing w:after="0"/>
              <w:jc w:val="left"/>
            </w:pPr>
            <w:r>
              <w:rPr>
                <w:sz w:val="16"/>
              </w:rPr>
              <w:t>event-days per year</w:t>
            </w:r>
          </w:p>
        </w:tc>
        <w:tc>
          <w:tcPr>
            <w:tcW w:type="dxa" w:w="1823"/>
          </w:tcPr>
          <w:p>
            <w:pPr>
              <w:spacing w:after="0"/>
              <w:jc w:val="left"/>
            </w:pPr>
            <w:r>
              <w:rPr>
                <w:sz w:val="16"/>
              </w:rPr>
              <w:t>about 21.1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400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Sutton town</w:t>
            </w:r>
          </w:p>
        </w:tc>
        <w:tc>
          <w:tcPr>
            <w:tcW w:type="dxa" w:w="860"/>
          </w:tcPr>
          <w:p>
            <w:pPr>
              <w:spacing w:after="0"/>
              <w:jc w:val="left"/>
            </w:pPr>
            <w:r>
              <w:rPr>
                <w:sz w:val="16"/>
              </w:rPr>
              <w:t>Town</w:t>
            </w:r>
          </w:p>
        </w:tc>
        <w:tc>
          <w:tcPr>
            <w:tcW w:type="dxa" w:w="2679"/>
          </w:tcPr>
          <w:p>
            <w:pPr>
              <w:spacing w:after="0"/>
              <w:jc w:val="left"/>
            </w:pPr>
            <w:r>
              <w:rPr>
                <w:sz w:val="16"/>
              </w:rPr>
              <w:t>Expired on 2026-08-10</w:t>
            </w:r>
          </w:p>
        </w:tc>
        <w:tc>
          <w:tcPr>
            <w:tcW w:type="dxa" w:w="2797"/>
          </w:tcPr>
          <w:p>
            <w:pPr>
              <w:spacing w:after="0"/>
              <w:jc w:val="right"/>
            </w:pPr>
            <w:r>
              <w:rPr>
                <w:sz w:val="16"/>
              </w:rPr>
              <w:t>FMA RL 0, SRL 0; any 0</w:t>
            </w:r>
          </w:p>
        </w:tc>
        <w:tc>
          <w:tcPr>
            <w:tcW w:type="dxa" w:w="2892"/>
          </w:tcPr>
          <w:p>
            <w:pPr>
              <w:spacing w:after="0"/>
              <w:jc w:val="right"/>
            </w:pPr>
            <w:r>
              <w:rPr>
                <w:sz w:val="16"/>
              </w:rPr>
              <w:t>$1,172,481.77</w:t>
            </w:r>
          </w:p>
        </w:tc>
        <w:tc>
          <w:tcPr>
            <w:tcW w:type="dxa" w:w="3271"/>
          </w:tcPr>
          <w:p>
            <w:pPr>
              <w:spacing w:after="0"/>
              <w:jc w:val="right"/>
            </w:pPr>
            <w:r>
              <w:rPr>
                <w:sz w:val="16"/>
              </w:rPr>
              <w:t>15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Caledonia County (National Risk Index exposure and expected annual loss; since-plan counts use Sutton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28"/>
        <w:gridCol w:w="1038"/>
        <w:gridCol w:w="1037"/>
        <w:gridCol w:w="1126"/>
        <w:gridCol w:w="1056"/>
        <w:gridCol w:w="1031"/>
        <w:gridCol w:w="1144"/>
        <w:gridCol w:w="1048"/>
        <w:gridCol w:w="1399"/>
        <w:gridCol w:w="158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2021-08-11</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56"/>
          </w:tcPr>
          <w:p>
            <w:pPr>
              <w:spacing w:after="0"/>
              <w:jc w:val="right"/>
            </w:pPr>
            <w:r>
              <w:rPr>
                <w:sz w:val="16"/>
              </w:rPr>
              <w:t>$131</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056"/>
          </w:tcPr>
          <w:p>
            <w:pPr>
              <w:spacing w:after="0"/>
              <w:jc w:val="right"/>
            </w:pPr>
            <w:r>
              <w:rPr>
                <w:sz w:val="16"/>
              </w:rPr>
              <w:t>$1,042,879</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$150,000</w:t>
            </w:r>
          </w:p>
        </w:tc>
        <w:tc>
          <w:tcPr>
            <w:tcW w:type="dxa" w:w="1399"/>
          </w:tcPr>
          <w:p>
            <w:pPr>
              <w:spacing w:after="0"/>
              <w:jc w:val="right"/>
            </w:pPr>
          </w:p>
        </w:tc>
        <w:tc>
          <w:tcPr>
            <w:tcW w:type="dxa" w:w="1585"/>
          </w:tcPr>
          <w:p>
            <w:pPr>
              <w:spacing w:after="0"/>
              <w:jc w:val="left"/>
            </w:pPr>
            <w:r>
              <w:rPr>
                <w:sz w:val="16"/>
              </w:rPr>
              <w:t>Storm Events damage since the plan includes 1 zone-level Frost/Freeze record ($150,000):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6"/>
          </w:tcPr>
          <w:p>
            <w:pPr>
              <w:spacing w:after="0"/>
              <w:jc w:val="right"/>
            </w:pPr>
            <w:r>
              <w:rPr>
                <w:sz w:val="16"/>
              </w:rPr>
              <w:t>n/a</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28"/>
          </w:tcPr>
          <w:p>
            <w:pPr>
              <w:spacing w:after="0"/>
              <w:jc w:val="right"/>
            </w:pPr>
            <w:r>
              <w:rPr>
                <w:sz w:val="16"/>
              </w:rPr>
              <w:t>n/a</w:t>
            </w:r>
          </w:p>
        </w:tc>
        <w:tc>
          <w:tcPr>
            <w:tcW w:type="dxa" w:w="1038"/>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056"/>
          </w:tcPr>
          <w:p>
            <w:pPr>
              <w:spacing w:after="0"/>
              <w:jc w:val="right"/>
            </w:pPr>
            <w:r>
              <w:rPr>
                <w:sz w:val="16"/>
              </w:rPr>
              <w:t>$33,427</w:t>
            </w:r>
          </w:p>
        </w:tc>
        <w:tc>
          <w:tcPr>
            <w:tcW w:type="dxa" w:w="1031"/>
          </w:tcPr>
          <w:p>
            <w:pPr>
              <w:spacing w:after="0"/>
              <w:jc w:val="right"/>
            </w:pPr>
            <w:r>
              <w:rPr>
                <w:sz w:val="16"/>
              </w:rPr>
              <w:t>0.00135%</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056"/>
          </w:tcPr>
          <w:p>
            <w:pPr>
              <w:spacing w:after="0"/>
              <w:jc w:val="right"/>
            </w:pPr>
            <w:r>
              <w:rPr>
                <w:sz w:val="16"/>
              </w:rPr>
              <w:t>$14,146</w:t>
            </w:r>
          </w:p>
        </w:tc>
        <w:tc>
          <w:tcPr>
            <w:tcW w:type="dxa" w:w="1031"/>
          </w:tcPr>
          <w:p>
            <w:pPr>
              <w:spacing w:after="0"/>
              <w:jc w:val="right"/>
            </w:pPr>
            <w:r>
              <w:rPr>
                <w:sz w:val="16"/>
              </w:rPr>
              <w:t>under 0.0001%</w:t>
            </w:r>
          </w:p>
        </w:tc>
        <w:tc>
          <w:tcPr>
            <w:tcW w:type="dxa" w:w="1144"/>
          </w:tcPr>
          <w:p>
            <w:pPr>
              <w:spacing w:after="0"/>
              <w:jc w:val="right"/>
            </w:pPr>
            <w:r>
              <w:rPr>
                <w:sz w:val="16"/>
              </w:rPr>
              <w:t>$0</w:t>
            </w: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56"/>
          </w:tcPr>
          <w:p>
            <w:pPr>
              <w:spacing w:after="0"/>
              <w:jc w:val="right"/>
            </w:pPr>
            <w:r>
              <w:rPr>
                <w:sz w:val="16"/>
              </w:rPr>
              <w:t>$88,006</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$0</w:t>
            </w: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28"/>
          </w:tcPr>
          <w:p>
            <w:pPr>
              <w:spacing w:after="0"/>
              <w:jc w:val="right"/>
            </w:pPr>
            <w:r>
              <w:rPr>
                <w:sz w:val="16"/>
              </w:rPr>
              <w:t>$54,298,200</w:t>
            </w:r>
          </w:p>
        </w:tc>
        <w:tc>
          <w:tcPr>
            <w:tcW w:type="dxa" w:w="1038"/>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056"/>
          </w:tcPr>
          <w:p>
            <w:pPr>
              <w:spacing w:after="0"/>
              <w:jc w:val="right"/>
            </w:pPr>
            <w:r>
              <w:rPr>
                <w:sz w:val="16"/>
              </w:rPr>
              <w:t>$16,080</w:t>
            </w:r>
          </w:p>
        </w:tc>
        <w:tc>
          <w:tcPr>
            <w:tcW w:type="dxa" w:w="1031"/>
          </w:tcPr>
          <w:p>
            <w:pPr>
              <w:spacing w:after="0"/>
              <w:jc w:val="right"/>
            </w:pPr>
            <w:r>
              <w:rPr>
                <w:sz w:val="16"/>
              </w:rPr>
              <w:t>0.00803%</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no Public Assistance recorded (2 declarations)</w:t>
            </w:r>
          </w:p>
        </w:tc>
        <w:tc>
          <w:tcPr>
            <w:tcW w:type="dxa" w:w="158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28"/>
          </w:tcPr>
          <w:p>
            <w:pPr>
              <w:spacing w:after="0"/>
              <w:jc w:val="right"/>
            </w:pPr>
            <w:r>
              <w:rPr>
                <w:sz w:val="16"/>
              </w:rPr>
              <w:t>n/a</w:t>
            </w:r>
          </w:p>
        </w:tc>
        <w:tc>
          <w:tcPr>
            <w:tcW w:type="dxa" w:w="1038"/>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056"/>
          </w:tcPr>
          <w:p>
            <w:pPr>
              <w:spacing w:after="0"/>
              <w:jc w:val="right"/>
            </w:pPr>
            <w:r>
              <w:rPr>
                <w:sz w:val="16"/>
              </w:rPr>
              <w:t>$3,319</w:t>
            </w:r>
          </w:p>
        </w:tc>
        <w:tc>
          <w:tcPr>
            <w:tcW w:type="dxa" w:w="1031"/>
          </w:tcPr>
          <w:p>
            <w:pPr>
              <w:spacing w:after="0"/>
              <w:jc w:val="right"/>
            </w:pPr>
            <w:r>
              <w:rPr>
                <w:sz w:val="16"/>
              </w:rPr>
              <w:t>0.00101%</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28"/>
          </w:tcPr>
          <w:p>
            <w:pPr>
              <w:spacing w:after="0"/>
              <w:jc w:val="right"/>
            </w:pPr>
            <w:r>
              <w:rPr>
                <w:sz w:val="16"/>
              </w:rPr>
              <w:t>$2,190,054</w:t>
            </w:r>
          </w:p>
        </w:tc>
        <w:tc>
          <w:tcPr>
            <w:tcW w:type="dxa" w:w="1038"/>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056"/>
          </w:tcPr>
          <w:p>
            <w:pPr>
              <w:spacing w:after="0"/>
              <w:jc w:val="right"/>
            </w:pPr>
            <w:r>
              <w:rPr>
                <w:sz w:val="16"/>
              </w:rPr>
              <w:t>$99,268</w:t>
            </w:r>
          </w:p>
        </w:tc>
        <w:tc>
          <w:tcPr>
            <w:tcW w:type="dxa" w:w="1031"/>
          </w:tcPr>
          <w:p>
            <w:pPr>
              <w:spacing w:after="0"/>
              <w:jc w:val="right"/>
            </w:pPr>
            <w:r>
              <w:rPr>
                <w:sz w:val="16"/>
              </w:rPr>
              <w:t>n/a (see note)</w:t>
            </w:r>
          </w:p>
        </w:tc>
        <w:tc>
          <w:tcPr>
            <w:tcW w:type="dxa" w:w="1144"/>
          </w:tcPr>
          <w:p>
            <w:pPr>
              <w:spacing w:after="0"/>
              <w:jc w:val="right"/>
            </w:pPr>
            <w:r>
              <w:rPr>
                <w:sz w:val="16"/>
              </w:rPr>
              <w:t>$16,901,000</w:t>
            </w: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28"/>
          </w:tcPr>
          <w:p>
            <w:pPr>
              <w:spacing w:after="0"/>
              <w:jc w:val="right"/>
            </w:pPr>
            <w:r>
              <w:rPr>
                <w:sz w:val="16"/>
              </w:rPr>
              <w:t>n/a</w:t>
            </w:r>
          </w:p>
        </w:tc>
        <w:tc>
          <w:tcPr>
            <w:tcW w:type="dxa" w:w="1038"/>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056"/>
          </w:tcPr>
          <w:p>
            <w:pPr>
              <w:spacing w:after="0"/>
              <w:jc w:val="right"/>
            </w:pPr>
            <w:r>
              <w:rPr>
                <w:sz w:val="16"/>
              </w:rPr>
              <w:t>$6,886</w:t>
            </w:r>
          </w:p>
        </w:tc>
        <w:tc>
          <w:tcPr>
            <w:tcW w:type="dxa" w:w="1031"/>
          </w:tcPr>
          <w:p>
            <w:pPr>
              <w:spacing w:after="0"/>
              <w:jc w:val="right"/>
            </w:pPr>
            <w:r>
              <w:rPr>
                <w:sz w:val="16"/>
              </w:rPr>
              <w:t>0.0012%</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28"/>
          </w:tcPr>
          <w:p>
            <w:pPr>
              <w:spacing w:after="0"/>
              <w:jc w:val="right"/>
            </w:pPr>
            <w:r>
              <w:rPr>
                <w:sz w:val="16"/>
              </w:rPr>
              <w:t>n/a</w:t>
            </w:r>
          </w:p>
        </w:tc>
        <w:tc>
          <w:tcPr>
            <w:tcW w:type="dxa" w:w="1038"/>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056"/>
          </w:tcPr>
          <w:p>
            <w:pPr>
              <w:spacing w:after="0"/>
              <w:jc w:val="right"/>
            </w:pPr>
            <w:r>
              <w:rPr>
                <w:sz w:val="16"/>
              </w:rPr>
              <w:t>$206,461</w:t>
            </w:r>
          </w:p>
        </w:tc>
        <w:tc>
          <w:tcPr>
            <w:tcW w:type="dxa" w:w="1031"/>
          </w:tcPr>
          <w:p>
            <w:pPr>
              <w:spacing w:after="0"/>
              <w:jc w:val="right"/>
            </w:pPr>
            <w:r>
              <w:rPr>
                <w:sz w:val="16"/>
              </w:rPr>
              <w:t>0.0002%</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056"/>
          </w:tcPr>
          <w:p>
            <w:pPr>
              <w:spacing w:after="0"/>
              <w:jc w:val="right"/>
            </w:pPr>
            <w:r>
              <w:rPr>
                <w:sz w:val="16"/>
              </w:rPr>
              <w:t>$124,959</w:t>
            </w:r>
          </w:p>
        </w:tc>
        <w:tc>
          <w:tcPr>
            <w:tcW w:type="dxa" w:w="1031"/>
          </w:tcPr>
          <w:p>
            <w:pPr>
              <w:spacing w:after="0"/>
              <w:jc w:val="right"/>
            </w:pPr>
            <w:r>
              <w:rPr>
                <w:sz w:val="16"/>
              </w:rPr>
              <w:t>0.00134%</w:t>
            </w:r>
          </w:p>
        </w:tc>
        <w:tc>
          <w:tcPr>
            <w:tcW w:type="dxa" w:w="1144"/>
          </w:tcPr>
          <w:p>
            <w:pPr>
              <w:spacing w:after="0"/>
              <w:jc w:val="right"/>
            </w:pPr>
            <w:r>
              <w:rPr>
                <w:sz w:val="16"/>
              </w:rPr>
              <w:t>$132,000</w:t>
            </w:r>
          </w:p>
        </w:tc>
        <w:tc>
          <w:tcPr>
            <w:tcW w:type="dxa" w:w="1048"/>
          </w:tcPr>
          <w:p>
            <w:pPr>
              <w:spacing w:after="0"/>
              <w:jc w:val="right"/>
            </w:pPr>
            <w:r>
              <w:rPr>
                <w:sz w:val="16"/>
              </w:rPr>
              <w:t>$205,000</w:t>
            </w:r>
          </w:p>
        </w:tc>
        <w:tc>
          <w:tcPr>
            <w:tcW w:type="dxa" w:w="1399"/>
          </w:tcPr>
          <w:p>
            <w:pPr>
              <w:spacing w:after="0"/>
              <w:jc w:val="right"/>
            </w:pPr>
          </w:p>
        </w:tc>
        <w:tc>
          <w:tcPr>
            <w:tcW w:type="dxa" w:w="1585"/>
          </w:tcPr>
          <w:p>
            <w:pPr>
              <w:spacing w:after="0"/>
              <w:jc w:val="left"/>
            </w:pPr>
            <w:r>
              <w:rPr>
                <w:sz w:val="16"/>
              </w:rPr>
              <w:t>Storm Events damage since the plan includes 1 zone-level High Wind record ($150,000) and 4 zone-level Strong Wind records ($55,000):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056"/>
          </w:tcPr>
          <w:p>
            <w:pPr>
              <w:spacing w:after="0"/>
              <w:jc w:val="right"/>
            </w:pPr>
            <w:r>
              <w:rPr>
                <w:sz w:val="16"/>
              </w:rPr>
              <w:t>$53,015</w:t>
            </w:r>
          </w:p>
        </w:tc>
        <w:tc>
          <w:tcPr>
            <w:tcW w:type="dxa" w:w="1031"/>
          </w:tcPr>
          <w:p>
            <w:pPr>
              <w:spacing w:after="0"/>
              <w:jc w:val="right"/>
            </w:pPr>
            <w:r>
              <w:rPr>
                <w:sz w:val="16"/>
              </w:rPr>
              <w:t>0.000258%</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28"/>
          </w:tcPr>
          <w:p>
            <w:pPr>
              <w:spacing w:after="0"/>
              <w:jc w:val="right"/>
            </w:pPr>
            <w:r>
              <w:rPr>
                <w:sz w:val="16"/>
              </w:rPr>
              <w:t>$45,764,839</w:t>
            </w:r>
          </w:p>
        </w:tc>
        <w:tc>
          <w:tcPr>
            <w:tcW w:type="dxa" w:w="1038"/>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056"/>
          </w:tcPr>
          <w:p>
            <w:pPr>
              <w:spacing w:after="0"/>
              <w:jc w:val="right"/>
            </w:pPr>
            <w:r>
              <w:rPr>
                <w:sz w:val="16"/>
              </w:rPr>
              <w:t>$533</w:t>
            </w:r>
          </w:p>
        </w:tc>
        <w:tc>
          <w:tcPr>
            <w:tcW w:type="dxa" w:w="1031"/>
          </w:tcPr>
          <w:p>
            <w:pPr>
              <w:spacing w:after="0"/>
              <w:jc w:val="right"/>
            </w:pPr>
            <w:r>
              <w:rPr>
                <w:sz w:val="16"/>
              </w:rPr>
              <w:t>0.000116%</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056"/>
          </w:tcPr>
          <w:p>
            <w:pPr>
              <w:spacing w:after="0"/>
              <w:jc w:val="right"/>
            </w:pPr>
            <w:r>
              <w:rPr>
                <w:sz w:val="16"/>
              </w:rPr>
              <w:t>$30,556</w:t>
            </w:r>
          </w:p>
        </w:tc>
        <w:tc>
          <w:tcPr>
            <w:tcW w:type="dxa" w:w="1031"/>
          </w:tcPr>
          <w:p>
            <w:pPr>
              <w:spacing w:after="0"/>
              <w:jc w:val="right"/>
            </w:pPr>
            <w:r>
              <w:rPr>
                <w:sz w:val="16"/>
              </w:rPr>
              <w:t>0.000912%</w:t>
            </w:r>
          </w:p>
        </w:tc>
        <w:tc>
          <w:tcPr>
            <w:tcW w:type="dxa" w:w="1144"/>
          </w:tcPr>
          <w:p>
            <w:pPr>
              <w:spacing w:after="0"/>
              <w:jc w:val="right"/>
            </w:pPr>
          </w:p>
        </w:tc>
        <w:tc>
          <w:tcPr>
            <w:tcW w:type="dxa" w:w="1048"/>
          </w:tcPr>
          <w:p>
            <w:pPr>
              <w:spacing w:after="0"/>
              <w:jc w:val="right"/>
            </w:pPr>
            <w:r>
              <w:rPr>
                <w:sz w:val="16"/>
              </w:rPr>
              <w:t>$20,000</w:t>
            </w:r>
          </w:p>
        </w:tc>
        <w:tc>
          <w:tcPr>
            <w:tcW w:type="dxa" w:w="1399"/>
          </w:tcPr>
          <w:p>
            <w:pPr>
              <w:spacing w:after="0"/>
              <w:jc w:val="right"/>
            </w:pPr>
          </w:p>
        </w:tc>
        <w:tc>
          <w:tcPr>
            <w:tcW w:type="dxa" w:w="15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2021-08-11 (Storm Events through 2026-06-30): 30 county-coded records, 30 with a damage value recorded (including $0), $17,033,000; 61 zone-level records, 61 with a damage value recorded (including $0), $375,000 reported for the zone; Public Assistance: $32,261,927.27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Caledonia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Sutton town</w:t>
            </w:r>
          </w:p>
        </w:tc>
        <w:tc>
          <w:tcPr>
            <w:tcW w:type="dxa" w:w="1652"/>
          </w:tcPr>
          <w:p>
            <w:pPr>
              <w:spacing w:after="0"/>
              <w:jc w:val="left"/>
            </w:pPr>
            <w:r>
              <w:rPr>
                <w:sz w:val="16"/>
              </w:rPr>
              <w:t>500198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Sutton town, VT: risk-assessment baseline packet, release 2026-10 (data as of 2026-09-30; Town FIPS 5000571575). Automated baseline. </w:t>
      </w:r>
      <w:hyperlink r:id="rId16">
        <w:r>
          <w:rPr>
            <w:color w:val="1F4E99"/>
            <w:sz w:val="17"/>
            <w:u w:val="single"/>
          </w:rPr>
          <w:t>https://hazardplain.org/vt/5000571575/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hazard-plain_2026-10_VT_5000571575.docx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Sutton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715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Sutton town, VT: Risk-assessment baseline packet</dc:title>
  <dc:subject>Hazard Plain release 2026-10, as of 2026-09-30. Automated baseline</dc:subject>
  <dc:creator>Hazard Plain</dc:creator>
  <cp:keywords>Hazard Plain; hazard mitigation; risk assessment; 5000571575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