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Cornwall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5000116000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Town of Cornwall, Vermont Single Jurisdiction All-Hazards Mitigation Plan 2025 (FEMA plan 111001),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Cornwall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hazard declaration and 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5000116000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Town of Cornwall, Vermont Single Jurisdiction All-Hazards Mitigation Plan 2025 (FEMA plan 111001)</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8"/>
        <w:gridCol w:w="863"/>
        <w:gridCol w:w="3522"/>
        <w:gridCol w:w="4037"/>
        <w:gridCol w:w="1381"/>
        <w:gridCol w:w="1381"/>
        <w:gridCol w:w="1191"/>
      </w:tblGrid>
      <w:tr>
        <w:trPr>
          <w:cantSplit/>
          <w:tblHeader/>
        </w:trPr>
        <w:tc>
          <w:tcPr>
            <w:tcW w:type="dxa" w:w="1738"/>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3522"/>
            <w:shd w:val="clear" w:color="auto" w:fill="E8E8E8"/>
          </w:tcPr>
          <w:p>
            <w:pPr>
              <w:spacing w:after="0"/>
              <w:jc w:val="left"/>
            </w:pPr>
            <w:r>
              <w:rPr>
                <w:b/>
                <w:sz w:val="16"/>
              </w:rPr>
              <w:t>Status</w:t>
            </w:r>
          </w:p>
        </w:tc>
        <w:tc>
          <w:tcPr>
            <w:tcW w:type="dxa" w:w="4037"/>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8"/>
          </w:tcPr>
          <w:p>
            <w:pPr>
              <w:spacing w:after="0"/>
              <w:jc w:val="left"/>
            </w:pPr>
            <w:r>
              <w:rPr>
                <w:sz w:val="16"/>
              </w:rPr>
              <w:t>Cornwall town</w:t>
            </w:r>
          </w:p>
        </w:tc>
        <w:tc>
          <w:tcPr>
            <w:tcW w:type="dxa" w:w="863"/>
          </w:tcPr>
          <w:p>
            <w:pPr>
              <w:spacing w:after="0"/>
              <w:jc w:val="left"/>
            </w:pPr>
            <w:r>
              <w:rPr>
                <w:sz w:val="16"/>
              </w:rPr>
              <w:t>Town</w:t>
            </w:r>
          </w:p>
        </w:tc>
        <w:tc>
          <w:tcPr>
            <w:tcW w:type="dxa" w:w="3522"/>
          </w:tcPr>
          <w:p>
            <w:pPr>
              <w:spacing w:after="0"/>
              <w:jc w:val="left"/>
            </w:pPr>
            <w:r>
              <w:rPr>
                <w:sz w:val="16"/>
              </w:rPr>
              <w:t>Approved, expires 2030-09-29</w:t>
            </w:r>
          </w:p>
        </w:tc>
        <w:tc>
          <w:tcPr>
            <w:tcW w:type="dxa" w:w="4037"/>
          </w:tcPr>
          <w:p>
            <w:pPr>
              <w:spacing w:after="0"/>
              <w:jc w:val="left"/>
            </w:pPr>
            <w:r>
              <w:rPr>
                <w:sz w:val="16"/>
              </w:rPr>
              <w:t>Town of Cornwall, Vermont Single Jurisdiction All-Hazards Mitigation Plan 2025 (FEMA plan 111001)</w:t>
            </w:r>
          </w:p>
        </w:tc>
        <w:tc>
          <w:tcPr>
            <w:tcW w:type="dxa" w:w="1381"/>
          </w:tcPr>
          <w:p>
            <w:pPr>
              <w:spacing w:after="0"/>
              <w:jc w:val="left"/>
            </w:pPr>
            <w:r>
              <w:rPr>
                <w:sz w:val="16"/>
              </w:rPr>
              <w:t>2025-09-30</w:t>
            </w:r>
          </w:p>
        </w:tc>
        <w:tc>
          <w:tcPr>
            <w:tcW w:type="dxa" w:w="1381"/>
          </w:tcPr>
          <w:p>
            <w:pPr>
              <w:spacing w:after="0"/>
              <w:jc w:val="left"/>
            </w:pPr>
            <w:r>
              <w:rPr>
                <w:sz w:val="16"/>
              </w:rPr>
              <w:t>2030-09-29</w:t>
            </w:r>
          </w:p>
        </w:tc>
        <w:tc>
          <w:tcPr>
            <w:tcW w:type="dxa" w:w="1191"/>
          </w:tcPr>
          <w:p>
            <w:pPr>
              <w:spacing w:after="0"/>
              <w:jc w:val="right"/>
            </w:pPr>
            <w:r>
              <w:rPr>
                <w:sz w:val="16"/>
              </w:rPr>
              <w:t>1,460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Cornwall town</w:t>
            </w:r>
          </w:p>
        </w:tc>
        <w:tc>
          <w:tcPr>
            <w:tcW w:type="dxa" w:w="806"/>
          </w:tcPr>
          <w:p>
            <w:pPr>
              <w:spacing w:after="0"/>
              <w:jc w:val="left"/>
            </w:pPr>
            <w:r>
              <w:rPr>
                <w:sz w:val="16"/>
              </w:rPr>
              <w:t>Town</w:t>
            </w:r>
          </w:p>
        </w:tc>
        <w:tc>
          <w:tcPr>
            <w:tcW w:type="dxa" w:w="3287"/>
          </w:tcPr>
          <w:p>
            <w:pPr>
              <w:spacing w:after="0"/>
              <w:jc w:val="left"/>
            </w:pPr>
            <w:r>
              <w:rPr>
                <w:sz w:val="16"/>
              </w:rPr>
              <w:t>Approved, expires 2030-09-29</w:t>
            </w:r>
          </w:p>
        </w:tc>
        <w:tc>
          <w:tcPr>
            <w:tcW w:type="dxa" w:w="2621"/>
          </w:tcPr>
          <w:p>
            <w:pPr>
              <w:spacing w:after="0"/>
              <w:jc w:val="right"/>
            </w:pPr>
            <w:r>
              <w:rPr>
                <w:sz w:val="16"/>
              </w:rPr>
              <w:t>FMA RL 0, SRL 0; any 0</w:t>
            </w:r>
          </w:p>
        </w:tc>
        <w:tc>
          <w:tcPr>
            <w:tcW w:type="dxa" w:w="2710"/>
          </w:tcPr>
          <w:p>
            <w:pPr>
              <w:spacing w:after="0"/>
              <w:jc w:val="right"/>
            </w:pPr>
            <w:r>
              <w:rPr>
                <w:sz w:val="16"/>
              </w:rPr>
              <w:t>$75,566.40</w:t>
            </w:r>
          </w:p>
        </w:tc>
        <w:tc>
          <w:tcPr>
            <w:tcW w:type="dxa" w:w="3065"/>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Cornwall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2"/>
        <w:gridCol w:w="1037"/>
        <w:gridCol w:w="1126"/>
        <w:gridCol w:w="944"/>
        <w:gridCol w:w="1047"/>
        <w:gridCol w:w="1176"/>
        <w:gridCol w:w="1080"/>
        <w:gridCol w:w="1080"/>
        <w:gridCol w:w="184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$2,014</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44"/>
          </w:tcPr>
          <w:p>
            <w:pPr>
              <w:spacing w:after="0"/>
              <w:jc w:val="right"/>
            </w:pPr>
            <w:r>
              <w:rPr>
                <w:sz w:val="16"/>
              </w:rPr>
              <w:t>$614,167</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4"/>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44"/>
          </w:tcPr>
          <w:p>
            <w:pPr>
              <w:spacing w:after="0"/>
              <w:jc w:val="right"/>
            </w:pPr>
            <w:r>
              <w:rPr>
                <w:sz w:val="16"/>
              </w:rPr>
              <w:t>$55,018</w:t>
            </w:r>
          </w:p>
        </w:tc>
        <w:tc>
          <w:tcPr>
            <w:tcW w:type="dxa" w:w="1047"/>
          </w:tcPr>
          <w:p>
            <w:pPr>
              <w:spacing w:after="0"/>
              <w:jc w:val="right"/>
            </w:pPr>
            <w:r>
              <w:rPr>
                <w:sz w:val="16"/>
              </w:rPr>
              <w:t>0.00221%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44"/>
          </w:tcPr>
          <w:p>
            <w:pPr>
              <w:spacing w:after="0"/>
              <w:jc w:val="right"/>
            </w:pPr>
            <w:r>
              <w:rPr>
                <w:sz w:val="16"/>
              </w:rPr>
              <w:t>$34,843</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44"/>
          </w:tcPr>
          <w:p>
            <w:pPr>
              <w:spacing w:after="0"/>
              <w:jc w:val="right"/>
            </w:pPr>
            <w:r>
              <w:rPr>
                <w:sz w:val="16"/>
              </w:rPr>
              <w:t>$342,908</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44"/>
          </w:tcPr>
          <w:p>
            <w:pPr>
              <w:spacing w:after="0"/>
              <w:jc w:val="right"/>
            </w:pPr>
            <w:r>
              <w:rPr>
                <w:sz w:val="16"/>
              </w:rPr>
              <w:t>$10,633</w:t>
            </w:r>
          </w:p>
        </w:tc>
        <w:tc>
          <w:tcPr>
            <w:tcW w:type="dxa" w:w="1047"/>
          </w:tcPr>
          <w:p>
            <w:pPr>
              <w:spacing w:after="0"/>
              <w:jc w:val="right"/>
            </w:pPr>
            <w:r>
              <w:rPr>
                <w:sz w:val="16"/>
              </w:rPr>
              <w:t>0.00405%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44"/>
          </w:tcPr>
          <w:p>
            <w:pPr>
              <w:spacing w:after="0"/>
              <w:jc w:val="right"/>
            </w:pPr>
            <w:r>
              <w:rPr>
                <w:sz w:val="16"/>
              </w:rPr>
              <w:t>$13,142</w:t>
            </w:r>
          </w:p>
        </w:tc>
        <w:tc>
          <w:tcPr>
            <w:tcW w:type="dxa" w:w="1047"/>
          </w:tcPr>
          <w:p>
            <w:pPr>
              <w:spacing w:after="0"/>
              <w:jc w:val="right"/>
            </w:pPr>
            <w:r>
              <w:rPr>
                <w:sz w:val="16"/>
              </w:rPr>
              <w:t>0.000981%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44"/>
          </w:tcPr>
          <w:p>
            <w:pPr>
              <w:spacing w:after="0"/>
              <w:jc w:val="right"/>
            </w:pPr>
            <w:r>
              <w:rPr>
                <w:sz w:val="16"/>
              </w:rPr>
              <w:t>$36,679</w:t>
            </w:r>
          </w:p>
        </w:tc>
        <w:tc>
          <w:tcPr>
            <w:tcW w:type="dxa" w:w="1047"/>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44"/>
          </w:tcPr>
          <w:p>
            <w:pPr>
              <w:spacing w:after="0"/>
              <w:jc w:val="right"/>
            </w:pPr>
            <w:r>
              <w:rPr>
                <w:sz w:val="16"/>
              </w:rPr>
              <w:t>$4,709</w:t>
            </w:r>
          </w:p>
        </w:tc>
        <w:tc>
          <w:tcPr>
            <w:tcW w:type="dxa" w:w="1047"/>
          </w:tcPr>
          <w:p>
            <w:pPr>
              <w:spacing w:after="0"/>
              <w:jc w:val="right"/>
            </w:pPr>
            <w:r>
              <w:rPr>
                <w:sz w:val="16"/>
              </w:rPr>
              <w:t>0.000927%</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44"/>
          </w:tcPr>
          <w:p>
            <w:pPr>
              <w:spacing w:after="0"/>
              <w:jc w:val="right"/>
            </w:pPr>
            <w:r>
              <w:rPr>
                <w:sz w:val="16"/>
              </w:rPr>
              <w:t>$315,455</w:t>
            </w:r>
          </w:p>
        </w:tc>
        <w:tc>
          <w:tcPr>
            <w:tcW w:type="dxa" w:w="1047"/>
          </w:tcPr>
          <w:p>
            <w:pPr>
              <w:spacing w:after="0"/>
              <w:jc w:val="right"/>
            </w:pPr>
            <w:r>
              <w:rPr>
                <w:sz w:val="16"/>
              </w:rPr>
              <w:t>0.000268%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44"/>
          </w:tcPr>
          <w:p>
            <w:pPr>
              <w:spacing w:after="0"/>
              <w:jc w:val="right"/>
            </w:pPr>
            <w:r>
              <w:rPr>
                <w:sz w:val="16"/>
              </w:rPr>
              <w:t>$201,028</w:t>
            </w:r>
          </w:p>
        </w:tc>
        <w:tc>
          <w:tcPr>
            <w:tcW w:type="dxa" w:w="1047"/>
          </w:tcPr>
          <w:p>
            <w:pPr>
              <w:spacing w:after="0"/>
              <w:jc w:val="right"/>
            </w:pPr>
            <w:r>
              <w:rPr>
                <w:sz w:val="16"/>
              </w:rPr>
              <w:t>0.00163%</w:t>
            </w:r>
          </w:p>
        </w:tc>
        <w:tc>
          <w:tcPr>
            <w:tcW w:type="dxa" w:w="1176"/>
          </w:tcPr>
          <w:p>
            <w:pPr>
              <w:spacing w:after="0"/>
              <w:jc w:val="right"/>
            </w:pPr>
            <w:r>
              <w:rPr>
                <w:sz w:val="16"/>
              </w:rPr>
              <w:t>$70,000</w:t>
            </w:r>
          </w:p>
        </w:tc>
        <w:tc>
          <w:tcPr>
            <w:tcW w:type="dxa" w:w="1080"/>
          </w:tcPr>
          <w:p>
            <w:pPr>
              <w:spacing w:after="0"/>
              <w:jc w:val="right"/>
            </w:pPr>
            <w:r>
              <w:rPr>
                <w:sz w:val="16"/>
              </w:rPr>
              <w:t>$10,000</w:t>
            </w:r>
          </w:p>
        </w:tc>
        <w:tc>
          <w:tcPr>
            <w:tcW w:type="dxa" w:w="1080"/>
          </w:tcPr>
          <w:p>
            <w:pPr>
              <w:spacing w:after="0"/>
              <w:jc w:val="right"/>
            </w:pPr>
          </w:p>
        </w:tc>
        <w:tc>
          <w:tcPr>
            <w:tcW w:type="dxa" w:w="184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44"/>
          </w:tcPr>
          <w:p>
            <w:pPr>
              <w:spacing w:after="0"/>
              <w:jc w:val="right"/>
            </w:pPr>
            <w:r>
              <w:rPr>
                <w:sz w:val="16"/>
              </w:rPr>
              <w:t>$206,735</w:t>
            </w:r>
          </w:p>
        </w:tc>
        <w:tc>
          <w:tcPr>
            <w:tcW w:type="dxa" w:w="1047"/>
          </w:tcPr>
          <w:p>
            <w:pPr>
              <w:spacing w:after="0"/>
              <w:jc w:val="right"/>
            </w:pPr>
            <w:r>
              <w:rPr>
                <w:sz w:val="16"/>
              </w:rPr>
              <w:t>0.000871%</w:t>
            </w:r>
          </w:p>
        </w:tc>
        <w:tc>
          <w:tcPr>
            <w:tcW w:type="dxa" w:w="1176"/>
          </w:tcPr>
          <w:p>
            <w:pPr>
              <w:spacing w:after="0"/>
              <w:jc w:val="right"/>
            </w:pPr>
            <w:r>
              <w:rPr>
                <w:sz w:val="16"/>
              </w:rPr>
              <w:t>$50,000</w:t>
            </w: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44"/>
          </w:tcPr>
          <w:p>
            <w:pPr>
              <w:spacing w:after="0"/>
              <w:jc w:val="right"/>
            </w:pPr>
            <w:r>
              <w:rPr>
                <w:sz w:val="16"/>
              </w:rPr>
              <w:t>$1,082</w:t>
            </w:r>
          </w:p>
        </w:tc>
        <w:tc>
          <w:tcPr>
            <w:tcW w:type="dxa" w:w="1047"/>
          </w:tcPr>
          <w:p>
            <w:pPr>
              <w:spacing w:after="0"/>
              <w:jc w:val="right"/>
            </w:pPr>
            <w:r>
              <w:rPr>
                <w:sz w:val="16"/>
              </w:rPr>
              <w:t>0.000535%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44"/>
          </w:tcPr>
          <w:p>
            <w:pPr>
              <w:spacing w:after="0"/>
              <w:jc w:val="right"/>
            </w:pPr>
            <w:r>
              <w:rPr>
                <w:sz w:val="16"/>
              </w:rPr>
              <w:t>$24,854</w:t>
            </w:r>
          </w:p>
        </w:tc>
        <w:tc>
          <w:tcPr>
            <w:tcW w:type="dxa" w:w="1047"/>
          </w:tcPr>
          <w:p>
            <w:pPr>
              <w:spacing w:after="0"/>
              <w:jc w:val="right"/>
            </w:pPr>
            <w:r>
              <w:rPr>
                <w:sz w:val="16"/>
              </w:rPr>
              <w:t>0.000625%</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2025-09-30 (Storm Events through 2026-06-30): 4 county-coded records, 4 with a damage value recorded (including $0), $120,000; 15 zone-level records, 15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Cornwall town</w:t>
            </w:r>
          </w:p>
        </w:tc>
        <w:tc>
          <w:tcPr>
            <w:tcW w:type="dxa" w:w="1636"/>
          </w:tcPr>
          <w:p>
            <w:pPr>
              <w:spacing w:after="0"/>
              <w:jc w:val="left"/>
            </w:pPr>
            <w:r>
              <w:rPr>
                <w:sz w:val="16"/>
              </w:rPr>
              <w:t>500317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Cornwall town, VT: risk-assessment baseline packet, release 2026-10 (data as of 2026-09-30; Town FIPS 5000116000). Automated baseline. </w:t>
      </w:r>
      <w:hyperlink r:id="rId16">
        <w:r>
          <w:rPr>
            <w:color w:val="1F4E99"/>
            <w:sz w:val="17"/>
            <w:u w:val="single"/>
          </w:rPr>
          <w:t>https://hazardplain.org/vt/5000116000/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hazard-plain_2026-10_VT_5000116000.docx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Cornwall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160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town, VT: Risk-assessment baseline packet</dc:title>
  <dc:subject>Hazard Plain release 2026-10, as of 2026-09-30. Automated baseline</dc:subject>
  <dc:creator>Hazard Plain</dc:creator>
  <cp:keywords>Hazard Plain; hazard mitigation; risk assessment; 5000116000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