
<file path=[Content_Types].xml><?xml version="1.0" encoding="utf-8"?>
<Types xmlns="http://schemas.openxmlformats.org/package/2006/content-types">
  <Default Extension="jpeg" ContentType="image/jpeg"/>
  <Default Extension="rels" ContentType="application/vnd.openxmlformats-package.relationships+xml"/>
  <Default Extension="xml" ContentType="application/xml"/>
  <Override PartName="/customXml/itemProps1.xml" ContentType="application/vnd.openxmlformats-officedocument.customXmlProperties+xml"/>
  <Override PartName="/docProps/app.xml" ContentType="application/vnd.openxmlformats-officedocument.extended-properties+xml"/>
  <Override PartName="/docProps/core.xml" ContentType="application/vnd.openxmlformats-package.core-properties+xml"/>
  <Override PartName="/word/document.xml" ContentType="application/vnd.openxmlformats-officedocument.wordprocessingml.document.main+xml"/>
  <Override PartName="/word/fontTable.xml" ContentType="application/vnd.openxmlformats-officedocument.wordprocessingml.fontTable+xml"/>
  <Override PartName="/word/footer1.xml" ContentType="application/vnd.openxmlformats-officedocument.wordprocessingml.footer+xml"/>
  <Override PartName="/word/header1.xml" ContentType="application/vnd.openxmlformats-officedocument.wordprocessingml.header+xml"/>
  <Override PartName="/word/numbering.xml" ContentType="application/vnd.openxmlformats-officedocument.wordprocessingml.numbering+xml"/>
  <Override PartName="/word/settings.xml" ContentType="application/vnd.openxmlformats-officedocument.wordprocessingml.settings+xml"/>
  <Override PartName="/word/styles.xml" ContentType="application/vnd.openxmlformats-officedocument.wordprocessingml.styles+xml"/>
  <Override PartName="/word/stylesWithEffects.xml" ContentType="application/vnd.ms-word.stylesWithEffects+xml"/>
  <Override PartName="/word/theme/theme1.xml" ContentType="application/vnd.openxmlformats-officedocument.theme+xml"/>
  <Override PartName="/word/webSettings.xml" ContentType="application/vnd.openxmlformats-officedocument.wordprocessingml.webSettings+xml"/>
</Types>
</file>

<file path=_rels/.rels><?xml version='1.0' encoding='UTF-8' standalone='yes'?>
<Relationships xmlns="http://schemas.openxmlformats.org/package/2006/relationships"><Relationship Id="rId3" Type="http://schemas.openxmlformats.org/package/2006/relationships/metadata/core-properties" Target="docProps/core.xml"/><Relationship Id="rId4" Type="http://schemas.openxmlformats.org/officeDocument/2006/relationships/extended-properties" Target="docProps/app.xml"/><Relationship Id="rId1" Type="http://schemas.openxmlformats.org/officeDocument/2006/relationships/officeDocument" Target="word/document.xml"/><Relationship Id="rId2" Type="http://schemas.openxmlformats.org/package/2006/relationships/metadata/thumbnail" Target="docProps/thumbnail.jpeg"/></Relationships>
</file>

<file path=word/document.xml><?xml version="1.0" encoding="utf-8"?>
<w:document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body>
    <w:p>
      <w:pPr>
        <w:pBdr>
          <w:top w:val="single" w:sz="6" w:space="4" w:color="808080"/>
          <w:left w:val="single" w:sz="6" w:space="4" w:color="808080"/>
          <w:bottom w:val="single" w:sz="6" w:space="4" w:color="808080"/>
          <w:right w:val="single" w:sz="6" w:space="4" w:color="808080"/>
        </w:pBdr>
        <w:shd w:val="clear" w:color="auto" w:fill="FFFFFF"/>
        <w:spacing w:after="120" w:before="0"/>
      </w:pPr>
      <w:r>
        <w:rPr>
          <w:b/>
          <w:sz w:val="18"/>
        </w:rPr>
        <w:t>Preview: automated baseline</w:t>
      </w:r>
    </w:p>
    <w:p>
      <w:pPr>
        <w:pStyle w:val="Title"/>
        <w:spacing w:after="80"/>
      </w:pPr>
      <w:r>
        <w:rPr/>
        <w:t>Warrick County, IN</w:t>
      </w:r>
    </w:p>
    <w:p>
      <w:pPr>
        <w:spacing w:after="120" w:before="0"/>
      </w:pPr>
      <w:r>
        <w:rPr>
          <w:color w:val="555555"/>
          <w:sz w:val="24"/>
        </w:rPr>
        <w:t>Risk-assessment baseline packet</w:t>
      </w:r>
    </w:p>
    <w:p>
      <w:pPr>
        <w:spacing w:after="120" w:before="0"/>
      </w:pPr>
      <w:r>
        <w:rPr>
          <w:b/>
          <w:sz w:val="18"/>
        </w:rPr>
        <w:t xml:space="preserve">Unit: </w:t>
      </w:r>
      <w:r>
        <w:rPr>
          <w:sz w:val="18"/>
        </w:rPr>
        <w:t>County area 18173</w:t>
      </w:r>
      <w:r>
        <w:rPr>
          <w:b/>
          <w:sz w:val="18"/>
        </w:rPr>
        <w:t xml:space="preserve">   Release: </w:t>
      </w:r>
      <w:r>
        <w:rPr>
          <w:sz w:val="18"/>
        </w:rPr>
        <w:t>2026-10</w:t>
      </w:r>
      <w:r>
        <w:rPr>
          <w:b/>
          <w:sz w:val="18"/>
        </w:rPr>
        <w:t xml:space="preserve">   As of: </w:t>
      </w:r>
      <w:r>
        <w:rPr>
          <w:sz w:val="18"/>
        </w:rPr>
        <w:t>2026-09-28</w:t>
      </w:r>
      <w:r>
        <w:rPr>
          <w:b/>
          <w:sz w:val="18"/>
        </w:rPr>
        <w:t xml:space="preserve">   Storm Events data through: </w:t>
      </w:r>
      <w:r>
        <w:rPr>
          <w:sz w:val="18"/>
        </w:rPr>
        <w:t>2026-06-30</w:t>
      </w:r>
    </w:p>
    <w:p>
      <w:pPr>
        <w:spacing w:after="40" w:before="0"/>
      </w:pPr>
      <w:r>
        <w:rPr>
          <w:color w:val="555555"/>
          <w:sz w:val="18"/>
        </w:rPr>
        <w:t>Hazard Plain is an independent product built from public federal data. It is not a FEMA document and is not reviewed or endorsed by FEMA or any state agency.</w:t>
      </w:r>
    </w:p>
    <w:p>
      <w:pPr>
        <w:spacing w:after="40" w:before="0"/>
      </w:pPr>
      <w:r>
        <w:rPr>
          <w:color w:val="555555"/>
          <w:sz w:val="18"/>
        </w:rPr>
        <w:t>A starting point for the plan's risk assessment (FEMA Local Mitigation Plan Review Tool, Element B). It does not replace local data or FEMA review.</w:t>
      </w:r>
    </w:p>
    <w:p>
      <w:pPr>
        <w:spacing w:after="40" w:before="0"/>
      </w:pPr>
      <w:r>
        <w:rPr>
          <w:color w:val="555555"/>
          <w:sz w:val="18"/>
        </w:rPr>
        <w:t>Section headings say which FEMA review item each table supports; whether an item is satisfied is decided by the plan and its reviewers.</w:t>
      </w:r>
    </w:p>
    <w:p>
      <w:pPr>
        <w:pStyle w:val="Heading2"/>
        <w:keepNext/>
        <w:spacing w:after="80"/>
      </w:pPr>
      <w:r>
        <w:rPr/>
        <w:t>Plan clock</w:t>
      </w:r>
    </w:p>
    <w:p>
      <w:pPr>
        <w:keepNext/>
        <w:spacing w:after="40" w:before="0"/>
      </w:pPr>
      <w:r>
        <w:rPr>
          <w:b/>
        </w:rPr>
        <w:t xml:space="preserve">Status: </w:t>
      </w:r>
      <w:r>
        <w:rPr/>
        <w:t>Approved, expires 2028-03-06</w:t>
      </w:r>
    </w:p>
    <w:p>
      <w:pPr>
        <w:keepNext/>
        <w:spacing w:after="40" w:before="0"/>
      </w:pPr>
      <w:r>
        <w:rPr>
          <w:b/>
        </w:rPr>
        <w:t xml:space="preserve">Plan: </w:t>
      </w:r>
      <w:r>
        <w:rPr/>
        <w:t>Warrick County 2023 Hazard Mitigation Plan (FEMA plan 108602)</w:t>
      </w:r>
    </w:p>
    <w:p>
      <w:pPr>
        <w:keepNext/>
        <w:spacing w:after="40" w:before="0"/>
      </w:pPr>
      <w:r>
        <w:rPr>
          <w:b/>
        </w:rPr>
        <w:t xml:space="preserve">Approved: </w:t>
      </w:r>
      <w:r>
        <w:rPr/>
        <w:t>2023-03-07</w:t>
      </w:r>
    </w:p>
    <w:p>
      <w:pPr>
        <w:keepNext/>
        <w:spacing w:after="40" w:before="0"/>
      </w:pPr>
      <w:r>
        <w:rPr>
          <w:b/>
        </w:rPr>
        <w:t xml:space="preserve">Expires: </w:t>
      </w:r>
      <w:r>
        <w:rPr/>
        <w:t>2028-03-06</w:t>
      </w:r>
    </w:p>
    <w:p>
      <w:pPr>
        <w:keepNext/>
        <w:spacing w:after="40" w:before="0"/>
      </w:pPr>
      <w:r>
        <w:rPr>
          <w:b/>
        </w:rPr>
        <w:t xml:space="preserve">As of: </w:t>
      </w:r>
      <w:r>
        <w:rPr/>
        <w:t>2026-09-28</w:t>
      </w:r>
    </w:p>
    <w:p>
      <w:pPr>
        <w:keepNext/>
        <w:spacing w:after="40" w:before="0"/>
      </w:pPr>
      <w:r>
        <w:rPr>
          <w:b/>
        </w:rPr>
        <w:t xml:space="preserve">Days: </w:t>
      </w:r>
      <w:r>
        <w:rPr/>
        <w:t>525 days to expiry</w:t>
      </w:r>
    </w:p>
    <w:p>
      <w:pPr>
        <w:spacing w:after="80" w:before="0"/>
      </w:pPr>
      <w:r>
        <w:rPr>
          <w:color w:val="555555"/>
          <w:sz w:val="17"/>
        </w:rPr>
        <w:t>Every jurisdiction listed on this page (7 rows) is listed in the table on the next page.</w:t>
      </w:r>
    </w:p>
    <w:p>
      <w:pPr>
        <w:pStyle w:val="Heading2"/>
        <w:keepNext/>
        <w:pBdr>
          <w:top w:val="single" w:sz="6" w:space="4" w:color="808080"/>
          <w:left w:val="single" w:sz="6" w:space="4" w:color="808080"/>
          <w:bottom w:val="single" w:sz="6" w:space="4" w:color="808080"/>
          <w:right w:val="single" w:sz="6" w:space="4" w:color="808080"/>
        </w:pBdr>
        <w:shd w:val="clear" w:color="auto" w:fill="F3F3F3"/>
        <w:spacing w:after="0"/>
      </w:pPr>
      <w:r>
        <w:rPr/>
        <w:t>What changed since your last plan (approved 2023-03-07)</w:t>
      </w:r>
    </w:p>
    <w:p>
      <w:pPr>
        <w:keepNext/>
        <w:pBdr>
          <w:top w:val="single" w:sz="6" w:space="4" w:color="808080"/>
          <w:left w:val="single" w:sz="6" w:space="4" w:color="808080"/>
          <w:bottom w:val="single" w:sz="6" w:space="4" w:color="808080"/>
          <w:right w:val="single" w:sz="6" w:space="4" w:color="808080"/>
        </w:pBdr>
        <w:shd w:val="clear" w:color="auto" w:fill="F3F3F3"/>
        <w:spacing w:after="0" w:before="0"/>
      </w:pPr>
      <w:r>
        <w:rPr>
          <w:b/>
        </w:rPr>
        <w:t xml:space="preserve">New federal declarations: </w:t>
      </w:r>
      <w:r>
        <w:rPr/>
        <w:t>DR-4882-IN, EM-3641-IN (2 declaration rows; 2 counted incidents)</w:t>
      </w:r>
    </w:p>
    <w:p>
      <w:pPr>
        <w:keepNext/>
        <w:pBdr>
          <w:top w:val="single" w:sz="6" w:space="4" w:color="808080"/>
          <w:left w:val="single" w:sz="6" w:space="4" w:color="808080"/>
          <w:bottom w:val="single" w:sz="6" w:space="4" w:color="808080"/>
          <w:right w:val="single" w:sz="6" w:space="4" w:color="808080"/>
        </w:pBdr>
        <w:shd w:val="clear" w:color="auto" w:fill="F3F3F3"/>
        <w:spacing w:after="0" w:before="0"/>
      </w:pPr>
      <w:r>
        <w:rPr>
          <w:b/>
        </w:rPr>
        <w:t xml:space="preserve">Storm Events records since approval: </w:t>
      </w:r>
      <w:r>
        <w:rPr/>
        <w:t>100 (data through 2026-06-30)</w:t>
      </w:r>
    </w:p>
    <w:p>
      <w:pPr>
        <w:keepNext/>
        <w:pBdr>
          <w:top w:val="single" w:sz="6" w:space="4" w:color="808080"/>
          <w:left w:val="single" w:sz="6" w:space="4" w:color="808080"/>
          <w:bottom w:val="single" w:sz="6" w:space="4" w:color="808080"/>
          <w:right w:val="single" w:sz="6" w:space="4" w:color="808080"/>
        </w:pBdr>
        <w:shd w:val="clear" w:color="auto" w:fill="F3F3F3"/>
        <w:spacing w:after="0" w:before="0"/>
      </w:pPr>
      <w:r>
        <w:rPr>
          <w:b/>
        </w:rPr>
        <w:t xml:space="preserve">Repetitive loss now: </w:t>
      </w:r>
      <w:r>
        <w:rPr/>
        <w:t>FMA RL 1, SRL 2 (44 CFR 77.2); any definition: 7</w:t>
      </w:r>
    </w:p>
    <w:p>
      <w:pPr>
        <w:keepNext/>
        <w:pBdr>
          <w:top w:val="single" w:sz="6" w:space="4" w:color="808080"/>
          <w:left w:val="single" w:sz="6" w:space="4" w:color="808080"/>
          <w:bottom w:val="single" w:sz="6" w:space="4" w:color="808080"/>
          <w:right w:val="single" w:sz="6" w:space="4" w:color="808080"/>
        </w:pBdr>
        <w:shd w:val="clear" w:color="auto" w:fill="F3F3F3"/>
        <w:spacing w:after="0" w:before="0"/>
      </w:pPr>
      <w:r>
        <w:rPr>
          <w:b/>
        </w:rPr>
        <w:t xml:space="preserve">Repeat-flood change: </w:t>
      </w:r>
      <w:r>
        <w:rPr/>
        <w:t>First release: no prior release to compare.</w:t>
      </w:r>
    </w:p>
    <w:p>
      <w:pPr>
        <w:spacing w:after="80" w:before="0"/>
      </w:pPr>
    </w:p>
    <w:p>
      <w:pPr>
        <w:pStyle w:val="Heading3"/>
        <w:keepNext/>
        <w:spacing w:after="80"/>
      </w:pPr>
      <w:r>
        <w:rPr/>
        <w:t>OpenFEMA disclaimer</w:t>
      </w:r>
    </w:p>
    <w:p>
      <w:pPr>
        <w:spacing w:after="80" w:before="0"/>
      </w:pPr>
      <w:r>
        <w:rPr>
          <w:sz w:val="17"/>
        </w:rPr>
        <w:t>This product uses the Federal Emergency Management Agency's OpenFEMA API, but is not endorsed by FEMA. The Federal Government or FEMA cannot vouch for the data or analyses derived from these data after the data have been retrieved from the Agency's website(s).</w:t>
      </w:r>
    </w:p>
    <w:p>
      <w:pPr>
        <w:sectPr>
          <w:headerReference w:type="default" r:id="rId9"/>
          <w:footerReference w:type="default" r:id="rId10"/>
          <w:pgSz w:w="12240" w:h="15840"/>
          <w:pgMar w:top="864" w:right="864" w:bottom="864" w:left="864" w:header="432" w:footer="432" w:gutter="0"/>
          <w:cols w:space="720"/>
          <w:docGrid w:linePitch="360"/>
        </w:sectPr>
      </w:pPr>
    </w:p>
    <w:p>
      <w:pPr>
        <w:pStyle w:val="Heading2"/>
        <w:keepNext/>
        <w:spacing w:after="80"/>
      </w:pPr>
      <w:r>
        <w:rPr/>
        <w:t>Plan clock: plan status for every jurisdiction listed in this county</w:t>
      </w:r>
    </w:p>
    <w:p>
      <w:pPr>
        <w:pStyle w:val="Heading3"/>
        <w:keepNext/>
        <w:spacing w:after="80"/>
      </w:pPr>
      <w:r>
        <w:rPr/>
        <w:t>Plan status for every jurisdiction listed in this county</w:t>
      </w:r>
    </w:p>
    <w:tbl>
      <w:tblPr>
        <w:tblW w:type="auto" w:w="0"/>
        <w:jc w:val="left"/>
        <w:tblBorders>
          <w:top w:val="single" w:sz="4" w:space="0" w:color="808080"/>
          <w:left w:val="single" w:sz="4" w:space="0" w:color="808080"/>
          <w:bottom w:val="single" w:sz="4" w:space="0" w:color="808080"/>
          <w:right w:val="single" w:sz="4" w:space="0" w:color="808080"/>
          <w:insideH w:val="single" w:sz="4" w:space="0" w:color="808080"/>
          <w:insideV w:val="single" w:sz="4" w:space="0" w:color="808080"/>
        </w:tblBorders>
        <w:tblLayout w:type="fixed"/>
        <w:tblCellMar>
          <w:top w:w="15" w:type="dxa"/>
          <w:left w:w="60" w:type="dxa"/>
          <w:bottom w:w="15" w:type="dxa"/>
          <w:right w:w="60" w:type="dxa"/>
        </w:tblCellMar>
        <w:tblLook w:firstColumn="1" w:firstRow="1" w:lastColumn="0" w:lastRow="0" w:noHBand="0" w:noVBand="1" w:val="04A0"/>
        <w:tblCaption w:val="Plan status for every jurisdiction listed in this county"/>
        <w:tblDescription w:val="Hazard Plain table plan_clock"/>
      </w:tblPr>
      <w:tblGrid>
        <w:gridCol w:w="1750"/>
        <w:gridCol w:w="853"/>
        <w:gridCol w:w="3319"/>
        <w:gridCol w:w="2460"/>
        <w:gridCol w:w="1302"/>
        <w:gridCol w:w="1302"/>
        <w:gridCol w:w="1122"/>
        <w:gridCol w:w="1190"/>
        <w:gridCol w:w="814"/>
      </w:tblGrid>
      <w:tr>
        <w:trPr>
          <w:cantSplit/>
          <w:tblHeader/>
        </w:trPr>
        <w:tc>
          <w:tcPr>
            <w:tcW w:type="dxa" w:w="1750"/>
            <w:shd w:val="clear" w:color="auto" w:fill="E8E8E8"/>
          </w:tcPr>
          <w:p>
            <w:pPr>
              <w:spacing w:after="0"/>
              <w:jc w:val="left"/>
            </w:pPr>
            <w:r>
              <w:rPr>
                <w:b/>
                <w:sz w:val="16"/>
              </w:rPr>
              <w:t>Jurisdiction</w:t>
            </w:r>
          </w:p>
        </w:tc>
        <w:tc>
          <w:tcPr>
            <w:tcW w:type="dxa" w:w="853"/>
            <w:shd w:val="clear" w:color="auto" w:fill="E8E8E8"/>
          </w:tcPr>
          <w:p>
            <w:pPr>
              <w:spacing w:after="0"/>
              <w:jc w:val="left"/>
            </w:pPr>
            <w:r>
              <w:rPr>
                <w:b/>
                <w:sz w:val="16"/>
              </w:rPr>
              <w:t>Type</w:t>
            </w:r>
          </w:p>
        </w:tc>
        <w:tc>
          <w:tcPr>
            <w:tcW w:type="dxa" w:w="3319"/>
            <w:shd w:val="clear" w:color="auto" w:fill="E8E8E8"/>
          </w:tcPr>
          <w:p>
            <w:pPr>
              <w:spacing w:after="0"/>
              <w:jc w:val="left"/>
            </w:pPr>
            <w:r>
              <w:rPr>
                <w:b/>
                <w:sz w:val="16"/>
              </w:rPr>
              <w:t>Status</w:t>
            </w:r>
          </w:p>
        </w:tc>
        <w:tc>
          <w:tcPr>
            <w:tcW w:type="dxa" w:w="2460"/>
            <w:shd w:val="clear" w:color="auto" w:fill="E8E8E8"/>
          </w:tcPr>
          <w:p>
            <w:pPr>
              <w:spacing w:after="0"/>
              <w:jc w:val="left"/>
            </w:pPr>
            <w:r>
              <w:rPr>
                <w:b/>
                <w:sz w:val="16"/>
              </w:rPr>
              <w:t>Plan</w:t>
            </w:r>
          </w:p>
        </w:tc>
        <w:tc>
          <w:tcPr>
            <w:tcW w:type="dxa" w:w="1302"/>
            <w:shd w:val="clear" w:color="auto" w:fill="E8E8E8"/>
          </w:tcPr>
          <w:p>
            <w:pPr>
              <w:spacing w:after="0"/>
              <w:jc w:val="left"/>
            </w:pPr>
            <w:r>
              <w:rPr>
                <w:b/>
                <w:sz w:val="16"/>
              </w:rPr>
              <w:t>Approved</w:t>
            </w:r>
          </w:p>
        </w:tc>
        <w:tc>
          <w:tcPr>
            <w:tcW w:type="dxa" w:w="1302"/>
            <w:shd w:val="clear" w:color="auto" w:fill="E8E8E8"/>
          </w:tcPr>
          <w:p>
            <w:pPr>
              <w:spacing w:after="0"/>
              <w:jc w:val="left"/>
            </w:pPr>
            <w:r>
              <w:rPr>
                <w:b/>
                <w:sz w:val="16"/>
              </w:rPr>
              <w:t>Expires</w:t>
            </w:r>
          </w:p>
        </w:tc>
        <w:tc>
          <w:tcPr>
            <w:tcW w:type="dxa" w:w="1122"/>
            <w:shd w:val="clear" w:color="auto" w:fill="E8E8E8"/>
          </w:tcPr>
          <w:p>
            <w:pPr>
              <w:spacing w:after="0"/>
              <w:jc w:val="right"/>
            </w:pPr>
            <w:r>
              <w:rPr>
                <w:b/>
                <w:sz w:val="16"/>
              </w:rPr>
              <w:t>Days to expiry</w:t>
            </w:r>
          </w:p>
          <w:p>
            <w:pPr>
              <w:spacing w:after="0"/>
              <w:jc w:val="right"/>
            </w:pPr>
            <w:r>
              <w:rPr>
                <w:i/>
                <w:color w:val="555555"/>
                <w:sz w:val="14"/>
              </w:rPr>
              <w:t>negative = days since expiry</w:t>
            </w:r>
          </w:p>
        </w:tc>
        <w:tc>
          <w:tcPr>
            <w:tcW w:type="dxa" w:w="1190"/>
            <w:shd w:val="clear" w:color="auto" w:fill="E8E8E8"/>
          </w:tcPr>
          <w:p>
            <w:pPr>
              <w:spacing w:after="0"/>
              <w:jc w:val="left"/>
            </w:pPr>
            <w:r>
              <w:rPr>
                <w:b/>
                <w:sz w:val="16"/>
              </w:rPr>
              <w:t>Update underway</w:t>
            </w:r>
          </w:p>
        </w:tc>
        <w:tc>
          <w:tcPr>
            <w:tcW w:type="dxa" w:w="814"/>
            <w:shd w:val="clear" w:color="auto" w:fill="E8E8E8"/>
          </w:tcPr>
          <w:p>
            <w:pPr>
              <w:spacing w:after="0"/>
              <w:jc w:val="left"/>
            </w:pPr>
            <w:r>
              <w:rPr>
                <w:b/>
                <w:sz w:val="16"/>
              </w:rPr>
              <w:t>Notes</w:t>
            </w:r>
          </w:p>
        </w:tc>
      </w:tr>
      <w:tr>
        <w:trPr>
          <w:cantSplit/>
        </w:trPr>
        <w:tc>
          <w:tcPr>
            <w:tcW w:type="dxa" w:w="1750"/>
          </w:tcPr>
          <w:p>
            <w:pPr>
              <w:spacing w:after="0"/>
              <w:jc w:val="left"/>
            </w:pPr>
            <w:r>
              <w:rPr>
                <w:sz w:val="16"/>
              </w:rPr>
              <w:t>Warrick County</w:t>
            </w:r>
          </w:p>
        </w:tc>
        <w:tc>
          <w:tcPr>
            <w:tcW w:type="dxa" w:w="853"/>
          </w:tcPr>
          <w:p>
            <w:pPr>
              <w:spacing w:after="0"/>
              <w:jc w:val="left"/>
            </w:pPr>
            <w:r>
              <w:rPr>
                <w:sz w:val="16"/>
              </w:rPr>
              <w:t>County</w:t>
            </w:r>
          </w:p>
        </w:tc>
        <w:tc>
          <w:tcPr>
            <w:tcW w:type="dxa" w:w="3319"/>
          </w:tcPr>
          <w:p>
            <w:pPr>
              <w:spacing w:after="0"/>
              <w:jc w:val="left"/>
            </w:pPr>
            <w:r>
              <w:rPr>
                <w:sz w:val="16"/>
              </w:rPr>
              <w:t>Approved, expires 2028-03-06</w:t>
            </w:r>
          </w:p>
        </w:tc>
        <w:tc>
          <w:tcPr>
            <w:tcW w:type="dxa" w:w="2460"/>
          </w:tcPr>
          <w:p>
            <w:pPr>
              <w:spacing w:after="0"/>
              <w:jc w:val="left"/>
            </w:pPr>
            <w:r>
              <w:rPr>
                <w:sz w:val="16"/>
              </w:rPr>
              <w:t>Warrick County 2023 Hazard Mitigation Plan (FEMA plan 108602)</w:t>
            </w:r>
          </w:p>
        </w:tc>
        <w:tc>
          <w:tcPr>
            <w:tcW w:type="dxa" w:w="1302"/>
          </w:tcPr>
          <w:p>
            <w:pPr>
              <w:spacing w:after="0"/>
              <w:jc w:val="left"/>
            </w:pPr>
            <w:r>
              <w:rPr>
                <w:sz w:val="16"/>
              </w:rPr>
              <w:t>2023-03-07</w:t>
            </w:r>
          </w:p>
        </w:tc>
        <w:tc>
          <w:tcPr>
            <w:tcW w:type="dxa" w:w="1302"/>
          </w:tcPr>
          <w:p>
            <w:pPr>
              <w:spacing w:after="0"/>
              <w:jc w:val="left"/>
            </w:pPr>
            <w:r>
              <w:rPr>
                <w:sz w:val="16"/>
              </w:rPr>
              <w:t>2028-03-06</w:t>
            </w:r>
          </w:p>
        </w:tc>
        <w:tc>
          <w:tcPr>
            <w:tcW w:type="dxa" w:w="1122"/>
          </w:tcPr>
          <w:p>
            <w:pPr>
              <w:spacing w:after="0"/>
              <w:jc w:val="right"/>
            </w:pPr>
            <w:r>
              <w:rPr>
                <w:sz w:val="16"/>
              </w:rPr>
              <w:t>525</w:t>
            </w:r>
          </w:p>
        </w:tc>
        <w:tc>
          <w:tcPr>
            <w:tcW w:type="dxa" w:w="1190"/>
          </w:tcPr>
          <w:p>
            <w:pPr>
              <w:spacing w:after="0"/>
              <w:jc w:val="left"/>
            </w:pPr>
          </w:p>
        </w:tc>
        <w:tc>
          <w:tcPr>
            <w:tcW w:type="dxa" w:w="814"/>
          </w:tcPr>
          <w:p>
            <w:pPr>
              <w:spacing w:after="0"/>
              <w:jc w:val="left"/>
            </w:pPr>
          </w:p>
        </w:tc>
      </w:tr>
      <w:tr>
        <w:trPr>
          <w:cantSplit/>
        </w:trPr>
        <w:tc>
          <w:tcPr>
            <w:tcW w:type="dxa" w:w="1750"/>
          </w:tcPr>
          <w:p>
            <w:pPr>
              <w:spacing w:after="0"/>
              <w:jc w:val="left"/>
            </w:pPr>
            <w:r>
              <w:rPr>
                <w:sz w:val="16"/>
              </w:rPr>
              <w:t>Boonville city</w:t>
            </w:r>
          </w:p>
        </w:tc>
        <w:tc>
          <w:tcPr>
            <w:tcW w:type="dxa" w:w="853"/>
          </w:tcPr>
          <w:p>
            <w:pPr>
              <w:spacing w:after="0"/>
              <w:jc w:val="left"/>
            </w:pPr>
            <w:r>
              <w:rPr>
                <w:sz w:val="16"/>
              </w:rPr>
              <w:t>City</w:t>
            </w:r>
          </w:p>
        </w:tc>
        <w:tc>
          <w:tcPr>
            <w:tcW w:type="dxa" w:w="3319"/>
          </w:tcPr>
          <w:p>
            <w:pPr>
              <w:spacing w:after="0"/>
              <w:jc w:val="left"/>
            </w:pPr>
            <w:r>
              <w:rPr>
                <w:sz w:val="16"/>
              </w:rPr>
              <w:t>Approved, expires 2028-03-06</w:t>
            </w:r>
          </w:p>
        </w:tc>
        <w:tc>
          <w:tcPr>
            <w:tcW w:type="dxa" w:w="2460"/>
          </w:tcPr>
          <w:p>
            <w:pPr>
              <w:spacing w:after="0"/>
              <w:jc w:val="left"/>
            </w:pPr>
            <w:r>
              <w:rPr>
                <w:sz w:val="16"/>
              </w:rPr>
              <w:t>Warrick County 2023 Hazard Mitigation Plan (FEMA plan 108602)</w:t>
            </w:r>
          </w:p>
        </w:tc>
        <w:tc>
          <w:tcPr>
            <w:tcW w:type="dxa" w:w="1302"/>
          </w:tcPr>
          <w:p>
            <w:pPr>
              <w:spacing w:after="0"/>
              <w:jc w:val="left"/>
            </w:pPr>
            <w:r>
              <w:rPr>
                <w:sz w:val="16"/>
              </w:rPr>
              <w:t>2023-03-07</w:t>
            </w:r>
          </w:p>
        </w:tc>
        <w:tc>
          <w:tcPr>
            <w:tcW w:type="dxa" w:w="1302"/>
          </w:tcPr>
          <w:p>
            <w:pPr>
              <w:spacing w:after="0"/>
              <w:jc w:val="left"/>
            </w:pPr>
            <w:r>
              <w:rPr>
                <w:sz w:val="16"/>
              </w:rPr>
              <w:t>2028-03-06</w:t>
            </w:r>
          </w:p>
        </w:tc>
        <w:tc>
          <w:tcPr>
            <w:tcW w:type="dxa" w:w="1122"/>
          </w:tcPr>
          <w:p>
            <w:pPr>
              <w:spacing w:after="0"/>
              <w:jc w:val="right"/>
            </w:pPr>
            <w:r>
              <w:rPr>
                <w:sz w:val="16"/>
              </w:rPr>
              <w:t>525</w:t>
            </w:r>
          </w:p>
        </w:tc>
        <w:tc>
          <w:tcPr>
            <w:tcW w:type="dxa" w:w="1190"/>
          </w:tcPr>
          <w:p>
            <w:pPr>
              <w:spacing w:after="0"/>
              <w:jc w:val="left"/>
            </w:pPr>
          </w:p>
        </w:tc>
        <w:tc>
          <w:tcPr>
            <w:tcW w:type="dxa" w:w="814"/>
          </w:tcPr>
          <w:p>
            <w:pPr>
              <w:spacing w:after="0"/>
              <w:jc w:val="left"/>
            </w:pPr>
          </w:p>
        </w:tc>
      </w:tr>
      <w:tr>
        <w:trPr>
          <w:cantSplit/>
        </w:trPr>
        <w:tc>
          <w:tcPr>
            <w:tcW w:type="dxa" w:w="1750"/>
          </w:tcPr>
          <w:p>
            <w:pPr>
              <w:spacing w:after="0"/>
              <w:jc w:val="left"/>
            </w:pPr>
            <w:r>
              <w:rPr>
                <w:sz w:val="16"/>
              </w:rPr>
              <w:t>Chandler town</w:t>
            </w:r>
          </w:p>
        </w:tc>
        <w:tc>
          <w:tcPr>
            <w:tcW w:type="dxa" w:w="853"/>
          </w:tcPr>
          <w:p>
            <w:pPr>
              <w:spacing w:after="0"/>
              <w:jc w:val="left"/>
            </w:pPr>
            <w:r>
              <w:rPr>
                <w:sz w:val="16"/>
              </w:rPr>
              <w:t>Town</w:t>
            </w:r>
          </w:p>
        </w:tc>
        <w:tc>
          <w:tcPr>
            <w:tcW w:type="dxa" w:w="3319"/>
          </w:tcPr>
          <w:p>
            <w:pPr>
              <w:spacing w:after="0"/>
              <w:jc w:val="left"/>
            </w:pPr>
            <w:r>
              <w:rPr>
                <w:sz w:val="16"/>
              </w:rPr>
              <w:t>Approved, expires 2028-03-06</w:t>
            </w:r>
          </w:p>
        </w:tc>
        <w:tc>
          <w:tcPr>
            <w:tcW w:type="dxa" w:w="2460"/>
          </w:tcPr>
          <w:p>
            <w:pPr>
              <w:spacing w:after="0"/>
              <w:jc w:val="left"/>
            </w:pPr>
            <w:r>
              <w:rPr>
                <w:sz w:val="16"/>
              </w:rPr>
              <w:t>Warrick County 2023 Hazard Mitigation Plan (FEMA plan 108602)</w:t>
            </w:r>
          </w:p>
        </w:tc>
        <w:tc>
          <w:tcPr>
            <w:tcW w:type="dxa" w:w="1302"/>
          </w:tcPr>
          <w:p>
            <w:pPr>
              <w:spacing w:after="0"/>
              <w:jc w:val="left"/>
            </w:pPr>
            <w:r>
              <w:rPr>
                <w:sz w:val="16"/>
              </w:rPr>
              <w:t>2023-03-07</w:t>
            </w:r>
          </w:p>
        </w:tc>
        <w:tc>
          <w:tcPr>
            <w:tcW w:type="dxa" w:w="1302"/>
          </w:tcPr>
          <w:p>
            <w:pPr>
              <w:spacing w:after="0"/>
              <w:jc w:val="left"/>
            </w:pPr>
            <w:r>
              <w:rPr>
                <w:sz w:val="16"/>
              </w:rPr>
              <w:t>2028-03-06</w:t>
            </w:r>
          </w:p>
        </w:tc>
        <w:tc>
          <w:tcPr>
            <w:tcW w:type="dxa" w:w="1122"/>
          </w:tcPr>
          <w:p>
            <w:pPr>
              <w:spacing w:after="0"/>
              <w:jc w:val="right"/>
            </w:pPr>
            <w:r>
              <w:rPr>
                <w:sz w:val="16"/>
              </w:rPr>
              <w:t>525</w:t>
            </w:r>
          </w:p>
        </w:tc>
        <w:tc>
          <w:tcPr>
            <w:tcW w:type="dxa" w:w="1190"/>
          </w:tcPr>
          <w:p>
            <w:pPr>
              <w:spacing w:after="0"/>
              <w:jc w:val="left"/>
            </w:pPr>
          </w:p>
        </w:tc>
        <w:tc>
          <w:tcPr>
            <w:tcW w:type="dxa" w:w="814"/>
          </w:tcPr>
          <w:p>
            <w:pPr>
              <w:spacing w:after="0"/>
              <w:jc w:val="left"/>
            </w:pPr>
          </w:p>
        </w:tc>
      </w:tr>
      <w:tr>
        <w:trPr>
          <w:cantSplit/>
        </w:trPr>
        <w:tc>
          <w:tcPr>
            <w:tcW w:type="dxa" w:w="1750"/>
          </w:tcPr>
          <w:p>
            <w:pPr>
              <w:spacing w:after="0"/>
              <w:jc w:val="left"/>
            </w:pPr>
            <w:r>
              <w:rPr>
                <w:sz w:val="16"/>
              </w:rPr>
              <w:t>Elberfeld town</w:t>
            </w:r>
          </w:p>
        </w:tc>
        <w:tc>
          <w:tcPr>
            <w:tcW w:type="dxa" w:w="853"/>
          </w:tcPr>
          <w:p>
            <w:pPr>
              <w:spacing w:after="0"/>
              <w:jc w:val="left"/>
            </w:pPr>
            <w:r>
              <w:rPr>
                <w:sz w:val="16"/>
              </w:rPr>
              <w:t>Town</w:t>
            </w:r>
          </w:p>
        </w:tc>
        <w:tc>
          <w:tcPr>
            <w:tcW w:type="dxa" w:w="3319"/>
          </w:tcPr>
          <w:p>
            <w:pPr>
              <w:spacing w:after="0"/>
              <w:jc w:val="left"/>
            </w:pPr>
            <w:r>
              <w:rPr>
                <w:sz w:val="16"/>
              </w:rPr>
              <w:t>Approved, expires 2028-03-06</w:t>
            </w:r>
          </w:p>
        </w:tc>
        <w:tc>
          <w:tcPr>
            <w:tcW w:type="dxa" w:w="2460"/>
          </w:tcPr>
          <w:p>
            <w:pPr>
              <w:spacing w:after="0"/>
              <w:jc w:val="left"/>
            </w:pPr>
            <w:r>
              <w:rPr>
                <w:sz w:val="16"/>
              </w:rPr>
              <w:t>Warrick County 2023 Hazard Mitigation Plan (FEMA plan 108602)</w:t>
            </w:r>
          </w:p>
        </w:tc>
        <w:tc>
          <w:tcPr>
            <w:tcW w:type="dxa" w:w="1302"/>
          </w:tcPr>
          <w:p>
            <w:pPr>
              <w:spacing w:after="0"/>
              <w:jc w:val="left"/>
            </w:pPr>
            <w:r>
              <w:rPr>
                <w:sz w:val="16"/>
              </w:rPr>
              <w:t>2023-03-07</w:t>
            </w:r>
          </w:p>
        </w:tc>
        <w:tc>
          <w:tcPr>
            <w:tcW w:type="dxa" w:w="1302"/>
          </w:tcPr>
          <w:p>
            <w:pPr>
              <w:spacing w:after="0"/>
              <w:jc w:val="left"/>
            </w:pPr>
            <w:r>
              <w:rPr>
                <w:sz w:val="16"/>
              </w:rPr>
              <w:t>2028-03-06</w:t>
            </w:r>
          </w:p>
        </w:tc>
        <w:tc>
          <w:tcPr>
            <w:tcW w:type="dxa" w:w="1122"/>
          </w:tcPr>
          <w:p>
            <w:pPr>
              <w:spacing w:after="0"/>
              <w:jc w:val="right"/>
            </w:pPr>
            <w:r>
              <w:rPr>
                <w:sz w:val="16"/>
              </w:rPr>
              <w:t>525</w:t>
            </w:r>
          </w:p>
        </w:tc>
        <w:tc>
          <w:tcPr>
            <w:tcW w:type="dxa" w:w="1190"/>
          </w:tcPr>
          <w:p>
            <w:pPr>
              <w:spacing w:after="0"/>
              <w:jc w:val="left"/>
            </w:pPr>
          </w:p>
        </w:tc>
        <w:tc>
          <w:tcPr>
            <w:tcW w:type="dxa" w:w="814"/>
          </w:tcPr>
          <w:p>
            <w:pPr>
              <w:spacing w:after="0"/>
              <w:jc w:val="left"/>
            </w:pPr>
          </w:p>
        </w:tc>
      </w:tr>
      <w:tr>
        <w:trPr>
          <w:cantSplit/>
        </w:trPr>
        <w:tc>
          <w:tcPr>
            <w:tcW w:type="dxa" w:w="1750"/>
          </w:tcPr>
          <w:p>
            <w:pPr>
              <w:spacing w:after="0"/>
              <w:jc w:val="left"/>
            </w:pPr>
            <w:r>
              <w:rPr>
                <w:sz w:val="16"/>
              </w:rPr>
              <w:t>Lynnville town</w:t>
            </w:r>
          </w:p>
        </w:tc>
        <w:tc>
          <w:tcPr>
            <w:tcW w:type="dxa" w:w="853"/>
          </w:tcPr>
          <w:p>
            <w:pPr>
              <w:spacing w:after="0"/>
              <w:jc w:val="left"/>
            </w:pPr>
            <w:r>
              <w:rPr>
                <w:sz w:val="16"/>
              </w:rPr>
              <w:t>Town</w:t>
            </w:r>
          </w:p>
        </w:tc>
        <w:tc>
          <w:tcPr>
            <w:tcW w:type="dxa" w:w="3319"/>
          </w:tcPr>
          <w:p>
            <w:pPr>
              <w:spacing w:after="0"/>
              <w:jc w:val="left"/>
            </w:pPr>
            <w:r>
              <w:rPr>
                <w:sz w:val="16"/>
              </w:rPr>
              <w:t>Approved, expires 2028-03-06</w:t>
            </w:r>
          </w:p>
        </w:tc>
        <w:tc>
          <w:tcPr>
            <w:tcW w:type="dxa" w:w="2460"/>
          </w:tcPr>
          <w:p>
            <w:pPr>
              <w:spacing w:after="0"/>
              <w:jc w:val="left"/>
            </w:pPr>
            <w:r>
              <w:rPr>
                <w:sz w:val="16"/>
              </w:rPr>
              <w:t>Warrick County 2023 Hazard Mitigation Plan (FEMA plan 108602)</w:t>
            </w:r>
          </w:p>
        </w:tc>
        <w:tc>
          <w:tcPr>
            <w:tcW w:type="dxa" w:w="1302"/>
          </w:tcPr>
          <w:p>
            <w:pPr>
              <w:spacing w:after="0"/>
              <w:jc w:val="left"/>
            </w:pPr>
            <w:r>
              <w:rPr>
                <w:sz w:val="16"/>
              </w:rPr>
              <w:t>2023-03-07</w:t>
            </w:r>
          </w:p>
        </w:tc>
        <w:tc>
          <w:tcPr>
            <w:tcW w:type="dxa" w:w="1302"/>
          </w:tcPr>
          <w:p>
            <w:pPr>
              <w:spacing w:after="0"/>
              <w:jc w:val="left"/>
            </w:pPr>
            <w:r>
              <w:rPr>
                <w:sz w:val="16"/>
              </w:rPr>
              <w:t>2028-03-06</w:t>
            </w:r>
          </w:p>
        </w:tc>
        <w:tc>
          <w:tcPr>
            <w:tcW w:type="dxa" w:w="1122"/>
          </w:tcPr>
          <w:p>
            <w:pPr>
              <w:spacing w:after="0"/>
              <w:jc w:val="right"/>
            </w:pPr>
            <w:r>
              <w:rPr>
                <w:sz w:val="16"/>
              </w:rPr>
              <w:t>525</w:t>
            </w:r>
          </w:p>
        </w:tc>
        <w:tc>
          <w:tcPr>
            <w:tcW w:type="dxa" w:w="1190"/>
          </w:tcPr>
          <w:p>
            <w:pPr>
              <w:spacing w:after="0"/>
              <w:jc w:val="left"/>
            </w:pPr>
          </w:p>
        </w:tc>
        <w:tc>
          <w:tcPr>
            <w:tcW w:type="dxa" w:w="814"/>
          </w:tcPr>
          <w:p>
            <w:pPr>
              <w:spacing w:after="0"/>
              <w:jc w:val="left"/>
            </w:pPr>
          </w:p>
        </w:tc>
      </w:tr>
      <w:tr>
        <w:trPr>
          <w:cantSplit/>
        </w:trPr>
        <w:tc>
          <w:tcPr>
            <w:tcW w:type="dxa" w:w="1750"/>
          </w:tcPr>
          <w:p>
            <w:pPr>
              <w:spacing w:after="0"/>
              <w:jc w:val="left"/>
            </w:pPr>
            <w:r>
              <w:rPr>
                <w:sz w:val="16"/>
              </w:rPr>
              <w:t>Newburgh town</w:t>
            </w:r>
          </w:p>
        </w:tc>
        <w:tc>
          <w:tcPr>
            <w:tcW w:type="dxa" w:w="853"/>
          </w:tcPr>
          <w:p>
            <w:pPr>
              <w:spacing w:after="0"/>
              <w:jc w:val="left"/>
            </w:pPr>
            <w:r>
              <w:rPr>
                <w:sz w:val="16"/>
              </w:rPr>
              <w:t>Town</w:t>
            </w:r>
          </w:p>
        </w:tc>
        <w:tc>
          <w:tcPr>
            <w:tcW w:type="dxa" w:w="3319"/>
          </w:tcPr>
          <w:p>
            <w:pPr>
              <w:spacing w:after="0"/>
              <w:jc w:val="left"/>
            </w:pPr>
            <w:r>
              <w:rPr>
                <w:sz w:val="16"/>
              </w:rPr>
              <w:t>Approved, expires 2028-03-06</w:t>
            </w:r>
          </w:p>
        </w:tc>
        <w:tc>
          <w:tcPr>
            <w:tcW w:type="dxa" w:w="2460"/>
          </w:tcPr>
          <w:p>
            <w:pPr>
              <w:spacing w:after="0"/>
              <w:jc w:val="left"/>
            </w:pPr>
            <w:r>
              <w:rPr>
                <w:sz w:val="16"/>
              </w:rPr>
              <w:t>Warrick County 2023 Hazard Mitigation Plan (FEMA plan 108602)</w:t>
            </w:r>
          </w:p>
        </w:tc>
        <w:tc>
          <w:tcPr>
            <w:tcW w:type="dxa" w:w="1302"/>
          </w:tcPr>
          <w:p>
            <w:pPr>
              <w:spacing w:after="0"/>
              <w:jc w:val="left"/>
            </w:pPr>
            <w:r>
              <w:rPr>
                <w:sz w:val="16"/>
              </w:rPr>
              <w:t>2023-03-07</w:t>
            </w:r>
          </w:p>
        </w:tc>
        <w:tc>
          <w:tcPr>
            <w:tcW w:type="dxa" w:w="1302"/>
          </w:tcPr>
          <w:p>
            <w:pPr>
              <w:spacing w:after="0"/>
              <w:jc w:val="left"/>
            </w:pPr>
            <w:r>
              <w:rPr>
                <w:sz w:val="16"/>
              </w:rPr>
              <w:t>2028-03-06</w:t>
            </w:r>
          </w:p>
        </w:tc>
        <w:tc>
          <w:tcPr>
            <w:tcW w:type="dxa" w:w="1122"/>
          </w:tcPr>
          <w:p>
            <w:pPr>
              <w:spacing w:after="0"/>
              <w:jc w:val="right"/>
            </w:pPr>
            <w:r>
              <w:rPr>
                <w:sz w:val="16"/>
              </w:rPr>
              <w:t>525</w:t>
            </w:r>
          </w:p>
        </w:tc>
        <w:tc>
          <w:tcPr>
            <w:tcW w:type="dxa" w:w="1190"/>
          </w:tcPr>
          <w:p>
            <w:pPr>
              <w:spacing w:after="0"/>
              <w:jc w:val="left"/>
            </w:pPr>
          </w:p>
        </w:tc>
        <w:tc>
          <w:tcPr>
            <w:tcW w:type="dxa" w:w="814"/>
          </w:tcPr>
          <w:p>
            <w:pPr>
              <w:spacing w:after="0"/>
              <w:jc w:val="left"/>
            </w:pPr>
          </w:p>
        </w:tc>
      </w:tr>
      <w:tr>
        <w:trPr>
          <w:cantSplit/>
        </w:trPr>
        <w:tc>
          <w:tcPr>
            <w:tcW w:type="dxa" w:w="1750"/>
          </w:tcPr>
          <w:p>
            <w:pPr>
              <w:spacing w:after="0"/>
              <w:jc w:val="left"/>
            </w:pPr>
            <w:r>
              <w:rPr>
                <w:sz w:val="16"/>
              </w:rPr>
              <w:t>Tennyson town</w:t>
            </w:r>
          </w:p>
        </w:tc>
        <w:tc>
          <w:tcPr>
            <w:tcW w:type="dxa" w:w="853"/>
          </w:tcPr>
          <w:p>
            <w:pPr>
              <w:spacing w:after="0"/>
              <w:jc w:val="left"/>
            </w:pPr>
            <w:r>
              <w:rPr>
                <w:sz w:val="16"/>
              </w:rPr>
              <w:t>Town</w:t>
            </w:r>
          </w:p>
        </w:tc>
        <w:tc>
          <w:tcPr>
            <w:tcW w:type="dxa" w:w="3319"/>
          </w:tcPr>
          <w:p>
            <w:pPr>
              <w:spacing w:after="0"/>
              <w:jc w:val="left"/>
            </w:pPr>
            <w:r>
              <w:rPr>
                <w:sz w:val="16"/>
              </w:rPr>
              <w:t>Approved, expires 2028-03-06</w:t>
            </w:r>
          </w:p>
        </w:tc>
        <w:tc>
          <w:tcPr>
            <w:tcW w:type="dxa" w:w="2460"/>
          </w:tcPr>
          <w:p>
            <w:pPr>
              <w:spacing w:after="0"/>
              <w:jc w:val="left"/>
            </w:pPr>
            <w:r>
              <w:rPr>
                <w:sz w:val="16"/>
              </w:rPr>
              <w:t>Warrick County 2023 Hazard Mitigation Plan (FEMA plan 108602)</w:t>
            </w:r>
          </w:p>
        </w:tc>
        <w:tc>
          <w:tcPr>
            <w:tcW w:type="dxa" w:w="1302"/>
          </w:tcPr>
          <w:p>
            <w:pPr>
              <w:spacing w:after="0"/>
              <w:jc w:val="left"/>
            </w:pPr>
            <w:r>
              <w:rPr>
                <w:sz w:val="16"/>
              </w:rPr>
              <w:t>2023-03-07</w:t>
            </w:r>
          </w:p>
        </w:tc>
        <w:tc>
          <w:tcPr>
            <w:tcW w:type="dxa" w:w="1302"/>
          </w:tcPr>
          <w:p>
            <w:pPr>
              <w:spacing w:after="0"/>
              <w:jc w:val="left"/>
            </w:pPr>
            <w:r>
              <w:rPr>
                <w:sz w:val="16"/>
              </w:rPr>
              <w:t>2028-03-06</w:t>
            </w:r>
          </w:p>
        </w:tc>
        <w:tc>
          <w:tcPr>
            <w:tcW w:type="dxa" w:w="1122"/>
          </w:tcPr>
          <w:p>
            <w:pPr>
              <w:spacing w:after="0"/>
              <w:jc w:val="right"/>
            </w:pPr>
            <w:r>
              <w:rPr>
                <w:sz w:val="16"/>
              </w:rPr>
              <w:t>525</w:t>
            </w:r>
          </w:p>
        </w:tc>
        <w:tc>
          <w:tcPr>
            <w:tcW w:type="dxa" w:w="1190"/>
          </w:tcPr>
          <w:p>
            <w:pPr>
              <w:spacing w:after="0"/>
              <w:jc w:val="left"/>
            </w:pPr>
          </w:p>
        </w:tc>
        <w:tc>
          <w:tcPr>
            <w:tcW w:type="dxa" w:w="814"/>
          </w:tcPr>
          <w:p>
            <w:pPr>
              <w:spacing w:after="0"/>
              <w:jc w:val="left"/>
            </w:pPr>
          </w:p>
        </w:tc>
      </w:tr>
    </w:tbl>
    <w:p>
      <w:pPr>
        <w:spacing w:after="20" w:before="0"/>
      </w:pPr>
      <w:r>
        <w:rPr>
          <w:b/>
          <w:color w:val="555555"/>
          <w:sz w:val="15"/>
        </w:rPr>
        <w:t xml:space="preserve">Source: </w:t>
      </w:r>
      <w:r>
        <w:rPr>
          <w:color w:val="555555"/>
          <w:sz w:val="15"/>
        </w:rPr>
        <w:t xml:space="preserve">FEMA, </w:t>
      </w:r>
      <w:hyperlink r:id="rId11">
        <w:r>
          <w:rPr>
            <w:color w:val="1F4E99"/>
            <w:sz w:val="15"/>
            <w:u w:val="single"/>
          </w:rPr>
          <w:t>OpenFEMA HazardMitigationPlanStatuses v1</w:t>
        </w:r>
      </w:hyperlink>
      <w:r>
        <w:rPr>
          <w:color w:val="555555"/>
          <w:sz w:val="15"/>
        </w:rPr>
        <w:t xml:space="preserve">, version 2026-09-26T121003Z, pulled 2026-09-28, </w:t>
      </w:r>
      <w:hyperlink r:id="rId12">
        <w:r>
          <w:rPr>
            <w:color w:val="1F4E99"/>
            <w:sz w:val="15"/>
            <w:u w:val="single"/>
          </w:rPr>
          <w:t>https://www.fema.gov/api/open/v1/HazardMitigationPlanStatuses</w:t>
        </w:r>
      </w:hyperlink>
      <w:r>
        <w:rPr>
          <w:color w:val="555555"/>
          <w:sz w:val="15"/>
        </w:rPr>
        <w:t xml:space="preserve"> (API)</w:t>
      </w:r>
    </w:p>
    <w:p>
      <w:pPr>
        <w:spacing w:after="80" w:before="0"/>
      </w:pPr>
    </w:p>
    <w:p>
      <w:pPr>
        <w:spacing w:after="80" w:before="0"/>
      </w:pPr>
      <w:r>
        <w:rPr>
          <w:color w:val="555555"/>
          <w:sz w:val="17"/>
        </w:rPr>
        <w:t>State plan status and tribal plans in this state: see the state page.</w:t>
      </w:r>
    </w:p>
    <w:p>
      <w:pPr>
        <w:pStyle w:val="Heading2"/>
        <w:keepNext/>
        <w:spacing w:after="80"/>
      </w:pPr>
      <w:r>
        <w:rPr/>
        <w:t>Supports B1-a: hazards</w:t>
      </w:r>
    </w:p>
    <w:p>
      <w:pPr>
        <w:spacing w:after="80" w:before="0"/>
      </w:pPr>
      <w:r>
        <w:rPr/>
        <w:t>Hazards NRI does not cover: check locally</w:t>
      </w:r>
    </w:p>
    <w:p>
      <w:pPr>
        <w:pStyle w:val="ListBullet"/>
        <w:spacing w:after="20"/>
      </w:pPr>
      <w:r>
        <w:rPr/>
        <w:t>dam failure (incl. upstream dams)</w:t>
      </w:r>
    </w:p>
    <w:p>
      <w:pPr>
        <w:pStyle w:val="ListBullet"/>
        <w:spacing w:after="20"/>
      </w:pPr>
      <w:r>
        <w:rPr/>
        <w:t>levee failure</w:t>
      </w:r>
    </w:p>
    <w:p>
      <w:pPr>
        <w:pStyle w:val="ListBullet"/>
        <w:spacing w:after="20"/>
      </w:pPr>
      <w:r>
        <w:rPr/>
        <w:t>flash flood as its own subtype</w:t>
      </w:r>
    </w:p>
    <w:p>
      <w:pPr>
        <w:pStyle w:val="ListBullet"/>
        <w:spacing w:after="20"/>
      </w:pPr>
      <w:r>
        <w:rPr/>
        <w:t>ice jams</w:t>
      </w:r>
    </w:p>
    <w:p>
      <w:pPr>
        <w:pStyle w:val="ListBullet"/>
        <w:spacing w:after="20"/>
      </w:pPr>
      <w:r>
        <w:rPr/>
        <w:t>debris flows</w:t>
      </w:r>
    </w:p>
    <w:p>
      <w:pPr>
        <w:pStyle w:val="ListBullet"/>
        <w:spacing w:after="20"/>
      </w:pPr>
      <w:r>
        <w:rPr/>
        <w:t>erosion (riverine and coastal)</w:t>
      </w:r>
    </w:p>
    <w:p>
      <w:pPr>
        <w:pStyle w:val="ListBullet"/>
        <w:spacing w:after="20"/>
      </w:pPr>
      <w:r>
        <w:rPr/>
        <w:t>land subsidence and sinkholes</w:t>
      </w:r>
    </w:p>
    <w:p>
      <w:pPr>
        <w:pStyle w:val="ListBullet"/>
        <w:spacing w:after="20"/>
      </w:pPr>
      <w:r>
        <w:rPr/>
        <w:t>expansive soils</w:t>
      </w:r>
    </w:p>
    <w:p>
      <w:pPr>
        <w:spacing w:after="40" w:before="0"/>
      </w:pPr>
    </w:p>
    <w:p>
      <w:pPr>
        <w:pStyle w:val="Heading3"/>
        <w:keepNext/>
        <w:spacing w:after="80"/>
      </w:pPr>
      <w:r>
        <w:rPr/>
        <w:t>The 18 National Risk Index hazards, ranked by expected annual loss (EAL)</w:t>
      </w:r>
    </w:p>
    <w:tbl>
      <w:tblPr>
        <w:tblW w:type="auto" w:w="0"/>
        <w:jc w:val="left"/>
        <w:tblBorders>
          <w:top w:val="single" w:sz="4" w:space="0" w:color="808080"/>
          <w:left w:val="single" w:sz="4" w:space="0" w:color="808080"/>
          <w:bottom w:val="single" w:sz="4" w:space="0" w:color="808080"/>
          <w:right w:val="single" w:sz="4" w:space="0" w:color="808080"/>
          <w:insideH w:val="single" w:sz="4" w:space="0" w:color="808080"/>
          <w:insideV w:val="single" w:sz="4" w:space="0" w:color="808080"/>
        </w:tblBorders>
        <w:tblLayout w:type="fixed"/>
        <w:tblCellMar>
          <w:top w:w="15" w:type="dxa"/>
          <w:left w:w="60" w:type="dxa"/>
          <w:bottom w:w="15" w:type="dxa"/>
          <w:right w:w="60" w:type="dxa"/>
        </w:tblCellMar>
        <w:tblLook w:firstColumn="1" w:firstRow="1" w:lastColumn="0" w:lastRow="0" w:noHBand="0" w:noVBand="1" w:val="04A0"/>
        <w:tblCaption w:val="The 18 National Risk Index hazards, ranked by expected annual loss (EAL)"/>
        <w:tblDescription w:val="Hazard Plain table b1a"/>
      </w:tblPr>
      <w:tblGrid>
        <w:gridCol w:w="682"/>
        <w:gridCol w:w="1037"/>
        <w:gridCol w:w="1178"/>
        <w:gridCol w:w="1178"/>
        <w:gridCol w:w="1126"/>
        <w:gridCol w:w="1126"/>
        <w:gridCol w:w="1288"/>
        <w:gridCol w:w="1161"/>
        <w:gridCol w:w="1178"/>
        <w:gridCol w:w="2120"/>
        <w:gridCol w:w="2038"/>
      </w:tblGrid>
      <w:tr>
        <w:trPr>
          <w:cantSplit/>
          <w:tblHeader/>
        </w:trPr>
        <w:tc>
          <w:tcPr>
            <w:tcW w:type="dxa" w:w="682"/>
            <w:shd w:val="clear" w:color="auto" w:fill="E8E8E8"/>
          </w:tcPr>
          <w:p>
            <w:pPr>
              <w:spacing w:after="0"/>
              <w:jc w:val="right"/>
            </w:pPr>
            <w:r>
              <w:rPr>
                <w:b/>
                <w:sz w:val="16"/>
              </w:rPr>
              <w:t>Rank by EAL</w:t>
            </w:r>
          </w:p>
        </w:tc>
        <w:tc>
          <w:tcPr>
            <w:tcW w:type="dxa" w:w="1037"/>
            <w:shd w:val="clear" w:color="auto" w:fill="E8E8E8"/>
          </w:tcPr>
          <w:p>
            <w:pPr>
              <w:spacing w:after="0"/>
              <w:jc w:val="left"/>
            </w:pPr>
            <w:r>
              <w:rPr>
                <w:b/>
                <w:sz w:val="16"/>
              </w:rPr>
              <w:t>Hazard</w:t>
            </w:r>
          </w:p>
        </w:tc>
        <w:tc>
          <w:tcPr>
            <w:tcW w:type="dxa" w:w="1178"/>
            <w:shd w:val="clear" w:color="auto" w:fill="E8E8E8"/>
          </w:tcPr>
          <w:p>
            <w:pPr>
              <w:spacing w:after="0"/>
              <w:jc w:val="left"/>
            </w:pPr>
            <w:r>
              <w:rPr>
                <w:b/>
                <w:sz w:val="16"/>
              </w:rPr>
              <w:t>NRI risk rating</w:t>
            </w:r>
          </w:p>
        </w:tc>
        <w:tc>
          <w:tcPr>
            <w:tcW w:type="dxa" w:w="1178"/>
            <w:shd w:val="clear" w:color="auto" w:fill="E8E8E8"/>
          </w:tcPr>
          <w:p>
            <w:pPr>
              <w:spacing w:after="0"/>
              <w:jc w:val="left"/>
            </w:pPr>
            <w:r>
              <w:rPr>
                <w:b/>
                <w:sz w:val="16"/>
              </w:rPr>
              <w:t>EAL rating</w:t>
            </w:r>
          </w:p>
        </w:tc>
        <w:tc>
          <w:tcPr>
            <w:tcW w:type="dxa" w:w="1126"/>
            <w:shd w:val="clear" w:color="auto" w:fill="E8E8E8"/>
          </w:tcPr>
          <w:p>
            <w:pPr>
              <w:spacing w:after="0"/>
              <w:jc w:val="right"/>
            </w:pPr>
            <w:r>
              <w:rPr>
                <w:b/>
                <w:sz w:val="16"/>
              </w:rPr>
              <w:t>EAL buildings</w:t>
            </w:r>
          </w:p>
          <w:p>
            <w:pPr>
              <w:spacing w:after="0"/>
              <w:jc w:val="right"/>
            </w:pPr>
            <w:r>
              <w:rPr>
                <w:i/>
                <w:color w:val="555555"/>
                <w:sz w:val="14"/>
              </w:rPr>
              <w:t>modeled dollars per year</w:t>
            </w:r>
          </w:p>
        </w:tc>
        <w:tc>
          <w:tcPr>
            <w:tcW w:type="dxa" w:w="1126"/>
            <w:shd w:val="clear" w:color="auto" w:fill="E8E8E8"/>
          </w:tcPr>
          <w:p>
            <w:pPr>
              <w:spacing w:after="0"/>
              <w:jc w:val="right"/>
            </w:pPr>
            <w:r>
              <w:rPr>
                <w:b/>
                <w:sz w:val="16"/>
              </w:rPr>
              <w:t>EAL agriculture</w:t>
            </w:r>
          </w:p>
          <w:p>
            <w:pPr>
              <w:spacing w:after="0"/>
              <w:jc w:val="right"/>
            </w:pPr>
            <w:r>
              <w:rPr>
                <w:i/>
                <w:color w:val="555555"/>
                <w:sz w:val="14"/>
              </w:rPr>
              <w:t>modeled dollars per year</w:t>
            </w:r>
          </w:p>
        </w:tc>
        <w:tc>
          <w:tcPr>
            <w:tcW w:type="dxa" w:w="1288"/>
            <w:shd w:val="clear" w:color="auto" w:fill="E8E8E8"/>
          </w:tcPr>
          <w:p>
            <w:pPr>
              <w:spacing w:after="0"/>
              <w:jc w:val="right"/>
            </w:pPr>
            <w:r>
              <w:rPr>
                <w:b/>
                <w:sz w:val="16"/>
              </w:rPr>
              <w:t>EAL population equivalence</w:t>
            </w:r>
          </w:p>
          <w:p>
            <w:pPr>
              <w:spacing w:after="0"/>
              <w:jc w:val="right"/>
            </w:pPr>
            <w:r>
              <w:rPr>
                <w:i/>
                <w:color w:val="555555"/>
                <w:sz w:val="14"/>
              </w:rPr>
              <w:t>statistical value of life and injury, $13.7M per life, not property damage</w:t>
            </w:r>
          </w:p>
        </w:tc>
        <w:tc>
          <w:tcPr>
            <w:tcW w:type="dxa" w:w="1161"/>
            <w:shd w:val="clear" w:color="auto" w:fill="E8E8E8"/>
          </w:tcPr>
          <w:p>
            <w:pPr>
              <w:spacing w:after="0"/>
              <w:jc w:val="right"/>
            </w:pPr>
            <w:r>
              <w:rPr>
                <w:b/>
                <w:sz w:val="16"/>
              </w:rPr>
              <w:t>EAL total (see note)</w:t>
            </w:r>
          </w:p>
          <w:p>
            <w:pPr>
              <w:spacing w:after="0"/>
              <w:jc w:val="right"/>
            </w:pPr>
            <w:r>
              <w:rPr>
                <w:i/>
                <w:color w:val="555555"/>
                <w:sz w:val="14"/>
              </w:rPr>
              <w:t>modeled dollars per year</w:t>
            </w:r>
          </w:p>
        </w:tc>
        <w:tc>
          <w:tcPr>
            <w:tcW w:type="dxa" w:w="1178"/>
            <w:shd w:val="clear" w:color="auto" w:fill="E8E8E8"/>
          </w:tcPr>
          <w:p>
            <w:pPr>
              <w:spacing w:after="0"/>
              <w:jc w:val="right"/>
            </w:pPr>
            <w:r>
              <w:rPr>
                <w:b/>
                <w:sz w:val="16"/>
              </w:rPr>
              <w:t>Storm Events records since 1996</w:t>
            </w:r>
          </w:p>
          <w:p>
            <w:pPr>
              <w:spacing w:after="0"/>
              <w:jc w:val="right"/>
            </w:pPr>
            <w:r>
              <w:rPr>
                <w:i/>
                <w:color w:val="555555"/>
                <w:sz w:val="14"/>
              </w:rPr>
              <w:t>count</w:t>
            </w:r>
          </w:p>
        </w:tc>
        <w:tc>
          <w:tcPr>
            <w:tcW w:type="dxa" w:w="2120"/>
            <w:shd w:val="clear" w:color="auto" w:fill="E8E8E8"/>
          </w:tcPr>
          <w:p>
            <w:pPr>
              <w:spacing w:after="0"/>
              <w:jc w:val="left"/>
            </w:pPr>
            <w:r>
              <w:rPr>
                <w:b/>
                <w:sz w:val="16"/>
              </w:rPr>
              <w:t>Evidence for an omission</w:t>
            </w:r>
          </w:p>
          <w:p>
            <w:pPr>
              <w:spacing w:after="0"/>
              <w:jc w:val="left"/>
            </w:pPr>
            <w:r>
              <w:rPr>
                <w:i/>
                <w:color w:val="555555"/>
                <w:sz w:val="14"/>
              </w:rPr>
              <w:t>NRI Not Applicable, no declaration and no Storm Events record since 1996</w:t>
            </w:r>
          </w:p>
        </w:tc>
        <w:tc>
          <w:tcPr>
            <w:tcW w:type="dxa" w:w="2038"/>
            <w:shd w:val="clear" w:color="auto" w:fill="E8E8E8"/>
          </w:tcPr>
          <w:p>
            <w:pPr>
              <w:spacing w:after="0"/>
              <w:jc w:val="left"/>
            </w:pPr>
            <w:r>
              <w:rPr>
                <w:b/>
                <w:sz w:val="16"/>
              </w:rPr>
              <w:t>Storm Events coverage note</w:t>
            </w:r>
          </w:p>
        </w:tc>
      </w:tr>
      <w:tr>
        <w:trPr>
          <w:cantSplit/>
        </w:trPr>
        <w:tc>
          <w:tcPr>
            <w:tcW w:type="dxa" w:w="682"/>
          </w:tcPr>
          <w:p>
            <w:pPr>
              <w:spacing w:after="0"/>
              <w:jc w:val="right"/>
            </w:pPr>
            <w:r>
              <w:rPr>
                <w:sz w:val="16"/>
              </w:rPr>
              <w:t>1</w:t>
            </w:r>
          </w:p>
        </w:tc>
        <w:tc>
          <w:tcPr>
            <w:tcW w:type="dxa" w:w="1037"/>
          </w:tcPr>
          <w:p>
            <w:pPr>
              <w:spacing w:after="0"/>
              <w:jc w:val="left"/>
            </w:pPr>
            <w:r>
              <w:rPr>
                <w:sz w:val="16"/>
              </w:rPr>
              <w:t>Inland Flooding</w:t>
            </w:r>
          </w:p>
        </w:tc>
        <w:tc>
          <w:tcPr>
            <w:tcW w:type="dxa" w:w="1178"/>
          </w:tcPr>
          <w:p>
            <w:pPr>
              <w:spacing w:after="0"/>
              <w:jc w:val="left"/>
            </w:pPr>
            <w:r>
              <w:rPr>
                <w:sz w:val="16"/>
              </w:rPr>
              <w:t>Relatively Low</w:t>
            </w:r>
          </w:p>
        </w:tc>
        <w:tc>
          <w:tcPr>
            <w:tcW w:type="dxa" w:w="1178"/>
          </w:tcPr>
          <w:p>
            <w:pPr>
              <w:spacing w:after="0"/>
              <w:jc w:val="left"/>
            </w:pPr>
            <w:r>
              <w:rPr>
                <w:sz w:val="16"/>
              </w:rPr>
              <w:t>Relatively Low</w:t>
            </w:r>
          </w:p>
        </w:tc>
        <w:tc>
          <w:tcPr>
            <w:tcW w:type="dxa" w:w="1126"/>
          </w:tcPr>
          <w:p>
            <w:pPr>
              <w:spacing w:after="0"/>
              <w:jc w:val="right"/>
            </w:pPr>
            <w:r>
              <w:rPr>
                <w:sz w:val="16"/>
              </w:rPr>
              <w:t>$14,757,857</w:t>
            </w:r>
          </w:p>
        </w:tc>
        <w:tc>
          <w:tcPr>
            <w:tcW w:type="dxa" w:w="1126"/>
          </w:tcPr>
          <w:p>
            <w:pPr>
              <w:spacing w:after="0"/>
              <w:jc w:val="right"/>
            </w:pPr>
            <w:r>
              <w:rPr>
                <w:sz w:val="16"/>
              </w:rPr>
              <w:t>$16,311</w:t>
            </w:r>
          </w:p>
        </w:tc>
        <w:tc>
          <w:tcPr>
            <w:tcW w:type="dxa" w:w="1288"/>
          </w:tcPr>
          <w:p>
            <w:pPr>
              <w:spacing w:after="0"/>
              <w:jc w:val="right"/>
            </w:pPr>
            <w:r>
              <w:rPr>
                <w:sz w:val="16"/>
              </w:rPr>
              <w:t>$51,592</w:t>
            </w:r>
          </w:p>
        </w:tc>
        <w:tc>
          <w:tcPr>
            <w:tcW w:type="dxa" w:w="1161"/>
          </w:tcPr>
          <w:p>
            <w:pPr>
              <w:spacing w:after="0"/>
              <w:jc w:val="right"/>
            </w:pPr>
            <w:r>
              <w:rPr>
                <w:sz w:val="16"/>
              </w:rPr>
              <w:t>$14,825,760</w:t>
            </w:r>
          </w:p>
        </w:tc>
        <w:tc>
          <w:tcPr>
            <w:tcW w:type="dxa" w:w="1178"/>
          </w:tcPr>
          <w:p>
            <w:pPr>
              <w:spacing w:after="0"/>
              <w:jc w:val="right"/>
            </w:pPr>
            <w:r>
              <w:rPr>
                <w:sz w:val="16"/>
              </w:rPr>
              <w:t>161</w:t>
            </w:r>
          </w:p>
        </w:tc>
        <w:tc>
          <w:tcPr>
            <w:tcW w:type="dxa" w:w="2120"/>
          </w:tcPr>
          <w:p>
            <w:pPr>
              <w:spacing w:after="0"/>
              <w:jc w:val="left"/>
            </w:pPr>
          </w:p>
        </w:tc>
        <w:tc>
          <w:tcPr>
            <w:tcW w:type="dxa" w:w="2038"/>
          </w:tcPr>
          <w:p>
            <w:pPr>
              <w:spacing w:after="0"/>
              <w:jc w:val="left"/>
            </w:pPr>
          </w:p>
        </w:tc>
      </w:tr>
      <w:tr>
        <w:trPr>
          <w:cantSplit/>
        </w:trPr>
        <w:tc>
          <w:tcPr>
            <w:tcW w:type="dxa" w:w="682"/>
          </w:tcPr>
          <w:p>
            <w:pPr>
              <w:spacing w:after="0"/>
              <w:jc w:val="right"/>
            </w:pPr>
            <w:r>
              <w:rPr>
                <w:sz w:val="16"/>
              </w:rPr>
              <w:t>2</w:t>
            </w:r>
          </w:p>
        </w:tc>
        <w:tc>
          <w:tcPr>
            <w:tcW w:type="dxa" w:w="1037"/>
          </w:tcPr>
          <w:p>
            <w:pPr>
              <w:spacing w:after="0"/>
              <w:jc w:val="left"/>
            </w:pPr>
            <w:r>
              <w:rPr>
                <w:sz w:val="16"/>
              </w:rPr>
              <w:t>Earthquake</w:t>
            </w:r>
          </w:p>
        </w:tc>
        <w:tc>
          <w:tcPr>
            <w:tcW w:type="dxa" w:w="1178"/>
          </w:tcPr>
          <w:p>
            <w:pPr>
              <w:spacing w:after="0"/>
              <w:jc w:val="left"/>
            </w:pPr>
            <w:r>
              <w:rPr>
                <w:sz w:val="16"/>
              </w:rPr>
              <w:t>Relatively Low</w:t>
            </w:r>
          </w:p>
        </w:tc>
        <w:tc>
          <w:tcPr>
            <w:tcW w:type="dxa" w:w="1178"/>
          </w:tcPr>
          <w:p>
            <w:pPr>
              <w:spacing w:after="0"/>
              <w:jc w:val="left"/>
            </w:pPr>
            <w:r>
              <w:rPr>
                <w:sz w:val="16"/>
              </w:rPr>
              <w:t>Relatively Moderate</w:t>
            </w:r>
          </w:p>
        </w:tc>
        <w:tc>
          <w:tcPr>
            <w:tcW w:type="dxa" w:w="1126"/>
          </w:tcPr>
          <w:p>
            <w:pPr>
              <w:spacing w:after="0"/>
              <w:jc w:val="right"/>
            </w:pPr>
            <w:r>
              <w:rPr>
                <w:sz w:val="16"/>
              </w:rPr>
              <w:t>$4,698,842</w:t>
            </w:r>
          </w:p>
        </w:tc>
        <w:tc>
          <w:tcPr>
            <w:tcW w:type="dxa" w:w="1126"/>
          </w:tcPr>
          <w:p>
            <w:pPr>
              <w:spacing w:after="0"/>
              <w:jc w:val="right"/>
            </w:pPr>
          </w:p>
        </w:tc>
        <w:tc>
          <w:tcPr>
            <w:tcW w:type="dxa" w:w="1288"/>
          </w:tcPr>
          <w:p>
            <w:pPr>
              <w:spacing w:after="0"/>
              <w:jc w:val="right"/>
            </w:pPr>
            <w:r>
              <w:rPr>
                <w:sz w:val="16"/>
              </w:rPr>
              <w:t>$1,253,299</w:t>
            </w:r>
          </w:p>
        </w:tc>
        <w:tc>
          <w:tcPr>
            <w:tcW w:type="dxa" w:w="1161"/>
          </w:tcPr>
          <w:p>
            <w:pPr>
              <w:spacing w:after="0"/>
              <w:jc w:val="right"/>
            </w:pPr>
            <w:r>
              <w:rPr>
                <w:sz w:val="16"/>
              </w:rPr>
              <w:t>$5,952,141</w:t>
            </w:r>
          </w:p>
        </w:tc>
        <w:tc>
          <w:tcPr>
            <w:tcW w:type="dxa" w:w="1178"/>
          </w:tcPr>
          <w:p>
            <w:pPr>
              <w:spacing w:after="0"/>
              <w:jc w:val="right"/>
            </w:pPr>
          </w:p>
        </w:tc>
        <w:tc>
          <w:tcPr>
            <w:tcW w:type="dxa" w:w="2120"/>
          </w:tcPr>
          <w:p>
            <w:pPr>
              <w:spacing w:after="0"/>
              <w:jc w:val="left"/>
            </w:pPr>
          </w:p>
        </w:tc>
        <w:tc>
          <w:tcPr>
            <w:tcW w:type="dxa" w:w="2038"/>
          </w:tcPr>
          <w:p>
            <w:pPr>
              <w:spacing w:after="0"/>
              <w:jc w:val="left"/>
            </w:pPr>
            <w:r>
              <w:rPr>
                <w:sz w:val="16"/>
              </w:rPr>
              <w:t>Not in Storm Events. Storm Events coverage of this hazard is limited; absence is not evidence of low risk.</w:t>
            </w:r>
          </w:p>
        </w:tc>
      </w:tr>
      <w:tr>
        <w:trPr>
          <w:cantSplit/>
        </w:trPr>
        <w:tc>
          <w:tcPr>
            <w:tcW w:type="dxa" w:w="682"/>
          </w:tcPr>
          <w:p>
            <w:pPr>
              <w:spacing w:after="0"/>
              <w:jc w:val="right"/>
            </w:pPr>
            <w:r>
              <w:rPr>
                <w:sz w:val="16"/>
              </w:rPr>
              <w:t>3</w:t>
            </w:r>
          </w:p>
        </w:tc>
        <w:tc>
          <w:tcPr>
            <w:tcW w:type="dxa" w:w="1037"/>
          </w:tcPr>
          <w:p>
            <w:pPr>
              <w:spacing w:after="0"/>
              <w:jc w:val="left"/>
            </w:pPr>
            <w:r>
              <w:rPr>
                <w:sz w:val="16"/>
              </w:rPr>
              <w:t>Tornado</w:t>
            </w:r>
          </w:p>
        </w:tc>
        <w:tc>
          <w:tcPr>
            <w:tcW w:type="dxa" w:w="1178"/>
          </w:tcPr>
          <w:p>
            <w:pPr>
              <w:spacing w:after="0"/>
              <w:jc w:val="left"/>
            </w:pPr>
            <w:r>
              <w:rPr>
                <w:sz w:val="16"/>
              </w:rPr>
              <w:t>Relatively Moderate</w:t>
            </w:r>
          </w:p>
        </w:tc>
        <w:tc>
          <w:tcPr>
            <w:tcW w:type="dxa" w:w="1178"/>
          </w:tcPr>
          <w:p>
            <w:pPr>
              <w:spacing w:after="0"/>
              <w:jc w:val="left"/>
            </w:pPr>
            <w:r>
              <w:rPr>
                <w:sz w:val="16"/>
              </w:rPr>
              <w:t>Relatively Moderate</w:t>
            </w:r>
          </w:p>
        </w:tc>
        <w:tc>
          <w:tcPr>
            <w:tcW w:type="dxa" w:w="1126"/>
          </w:tcPr>
          <w:p>
            <w:pPr>
              <w:spacing w:after="0"/>
              <w:jc w:val="right"/>
            </w:pPr>
            <w:r>
              <w:rPr>
                <w:sz w:val="16"/>
              </w:rPr>
              <w:t>$1,379,162</w:t>
            </w:r>
          </w:p>
        </w:tc>
        <w:tc>
          <w:tcPr>
            <w:tcW w:type="dxa" w:w="1126"/>
          </w:tcPr>
          <w:p>
            <w:pPr>
              <w:spacing w:after="0"/>
              <w:jc w:val="right"/>
            </w:pPr>
            <w:r>
              <w:rPr>
                <w:sz w:val="16"/>
              </w:rPr>
              <w:t>$736</w:t>
            </w:r>
          </w:p>
        </w:tc>
        <w:tc>
          <w:tcPr>
            <w:tcW w:type="dxa" w:w="1288"/>
          </w:tcPr>
          <w:p>
            <w:pPr>
              <w:spacing w:after="0"/>
              <w:jc w:val="right"/>
            </w:pPr>
            <w:r>
              <w:rPr>
                <w:sz w:val="16"/>
              </w:rPr>
              <w:t>$1,779,675</w:t>
            </w:r>
          </w:p>
        </w:tc>
        <w:tc>
          <w:tcPr>
            <w:tcW w:type="dxa" w:w="1161"/>
          </w:tcPr>
          <w:p>
            <w:pPr>
              <w:spacing w:after="0"/>
              <w:jc w:val="right"/>
            </w:pPr>
            <w:r>
              <w:rPr>
                <w:sz w:val="16"/>
              </w:rPr>
              <w:t>$3,159,573</w:t>
            </w:r>
          </w:p>
        </w:tc>
        <w:tc>
          <w:tcPr>
            <w:tcW w:type="dxa" w:w="1178"/>
          </w:tcPr>
          <w:p>
            <w:pPr>
              <w:spacing w:after="0"/>
              <w:jc w:val="right"/>
            </w:pPr>
            <w:r>
              <w:rPr>
                <w:sz w:val="16"/>
              </w:rPr>
              <w:t>23</w:t>
            </w:r>
          </w:p>
        </w:tc>
        <w:tc>
          <w:tcPr>
            <w:tcW w:type="dxa" w:w="2120"/>
          </w:tcPr>
          <w:p>
            <w:pPr>
              <w:spacing w:after="0"/>
              <w:jc w:val="left"/>
            </w:pPr>
          </w:p>
        </w:tc>
        <w:tc>
          <w:tcPr>
            <w:tcW w:type="dxa" w:w="2038"/>
          </w:tcPr>
          <w:p>
            <w:pPr>
              <w:spacing w:after="0"/>
              <w:jc w:val="left"/>
            </w:pPr>
          </w:p>
        </w:tc>
      </w:tr>
      <w:tr>
        <w:trPr>
          <w:cantSplit/>
        </w:trPr>
        <w:tc>
          <w:tcPr>
            <w:tcW w:type="dxa" w:w="682"/>
          </w:tcPr>
          <w:p>
            <w:pPr>
              <w:spacing w:after="0"/>
              <w:jc w:val="right"/>
            </w:pPr>
            <w:r>
              <w:rPr>
                <w:sz w:val="16"/>
              </w:rPr>
              <w:t>4</w:t>
            </w:r>
          </w:p>
        </w:tc>
        <w:tc>
          <w:tcPr>
            <w:tcW w:type="dxa" w:w="1037"/>
          </w:tcPr>
          <w:p>
            <w:pPr>
              <w:spacing w:after="0"/>
              <w:jc w:val="left"/>
            </w:pPr>
            <w:r>
              <w:rPr>
                <w:sz w:val="16"/>
              </w:rPr>
              <w:t>Strong Wind</w:t>
            </w:r>
          </w:p>
        </w:tc>
        <w:tc>
          <w:tcPr>
            <w:tcW w:type="dxa" w:w="1178"/>
          </w:tcPr>
          <w:p>
            <w:pPr>
              <w:spacing w:after="0"/>
              <w:jc w:val="left"/>
            </w:pPr>
            <w:r>
              <w:rPr>
                <w:sz w:val="16"/>
              </w:rPr>
              <w:t>Relatively Moderate</w:t>
            </w:r>
          </w:p>
        </w:tc>
        <w:tc>
          <w:tcPr>
            <w:tcW w:type="dxa" w:w="1178"/>
          </w:tcPr>
          <w:p>
            <w:pPr>
              <w:spacing w:after="0"/>
              <w:jc w:val="left"/>
            </w:pPr>
            <w:r>
              <w:rPr>
                <w:sz w:val="16"/>
              </w:rPr>
              <w:t>Relatively High</w:t>
            </w:r>
          </w:p>
        </w:tc>
        <w:tc>
          <w:tcPr>
            <w:tcW w:type="dxa" w:w="1126"/>
          </w:tcPr>
          <w:p>
            <w:pPr>
              <w:spacing w:after="0"/>
              <w:jc w:val="right"/>
            </w:pPr>
            <w:r>
              <w:rPr>
                <w:sz w:val="16"/>
              </w:rPr>
              <w:t>$1,293,501</w:t>
            </w:r>
          </w:p>
        </w:tc>
        <w:tc>
          <w:tcPr>
            <w:tcW w:type="dxa" w:w="1126"/>
          </w:tcPr>
          <w:p>
            <w:pPr>
              <w:spacing w:after="0"/>
              <w:jc w:val="right"/>
            </w:pPr>
            <w:r>
              <w:rPr>
                <w:sz w:val="16"/>
              </w:rPr>
              <w:t>$160,367</w:t>
            </w:r>
          </w:p>
        </w:tc>
        <w:tc>
          <w:tcPr>
            <w:tcW w:type="dxa" w:w="1288"/>
          </w:tcPr>
          <w:p>
            <w:pPr>
              <w:spacing w:after="0"/>
              <w:jc w:val="right"/>
            </w:pPr>
            <w:r>
              <w:rPr>
                <w:sz w:val="16"/>
              </w:rPr>
              <w:t>$304,791</w:t>
            </w:r>
          </w:p>
        </w:tc>
        <w:tc>
          <w:tcPr>
            <w:tcW w:type="dxa" w:w="1161"/>
          </w:tcPr>
          <w:p>
            <w:pPr>
              <w:spacing w:after="0"/>
              <w:jc w:val="right"/>
            </w:pPr>
            <w:r>
              <w:rPr>
                <w:sz w:val="16"/>
              </w:rPr>
              <w:t>$1,758,659</w:t>
            </w:r>
          </w:p>
        </w:tc>
        <w:tc>
          <w:tcPr>
            <w:tcW w:type="dxa" w:w="1178"/>
          </w:tcPr>
          <w:p>
            <w:pPr>
              <w:spacing w:after="0"/>
              <w:jc w:val="right"/>
            </w:pPr>
            <w:r>
              <w:rPr>
                <w:sz w:val="16"/>
              </w:rPr>
              <w:t>189</w:t>
            </w:r>
          </w:p>
        </w:tc>
        <w:tc>
          <w:tcPr>
            <w:tcW w:type="dxa" w:w="2120"/>
          </w:tcPr>
          <w:p>
            <w:pPr>
              <w:spacing w:after="0"/>
              <w:jc w:val="left"/>
            </w:pPr>
          </w:p>
        </w:tc>
        <w:tc>
          <w:tcPr>
            <w:tcW w:type="dxa" w:w="2038"/>
          </w:tcPr>
          <w:p>
            <w:pPr>
              <w:spacing w:after="0"/>
              <w:jc w:val="left"/>
            </w:pPr>
            <w:r>
              <w:rPr>
                <w:sz w:val="16"/>
              </w:rPr>
              <w:t>Includes 6 High Wind records and 71 Strong Wind records, event types the NRI definition of this hazard leaves out.</w:t>
            </w:r>
          </w:p>
        </w:tc>
      </w:tr>
      <w:tr>
        <w:trPr>
          <w:cantSplit/>
        </w:trPr>
        <w:tc>
          <w:tcPr>
            <w:tcW w:type="dxa" w:w="682"/>
          </w:tcPr>
          <w:p>
            <w:pPr>
              <w:spacing w:after="0"/>
              <w:jc w:val="right"/>
            </w:pPr>
            <w:r>
              <w:rPr>
                <w:sz w:val="16"/>
              </w:rPr>
              <w:t>5</w:t>
            </w:r>
          </w:p>
        </w:tc>
        <w:tc>
          <w:tcPr>
            <w:tcW w:type="dxa" w:w="1037"/>
          </w:tcPr>
          <w:p>
            <w:pPr>
              <w:spacing w:after="0"/>
              <w:jc w:val="left"/>
            </w:pPr>
            <w:r>
              <w:rPr>
                <w:sz w:val="16"/>
              </w:rPr>
              <w:t>Heat Wave</w:t>
            </w:r>
          </w:p>
        </w:tc>
        <w:tc>
          <w:tcPr>
            <w:tcW w:type="dxa" w:w="1178"/>
          </w:tcPr>
          <w:p>
            <w:pPr>
              <w:spacing w:after="0"/>
              <w:jc w:val="left"/>
            </w:pPr>
            <w:r>
              <w:rPr>
                <w:sz w:val="16"/>
              </w:rPr>
              <w:t>Relatively Low</w:t>
            </w:r>
          </w:p>
        </w:tc>
        <w:tc>
          <w:tcPr>
            <w:tcW w:type="dxa" w:w="1178"/>
          </w:tcPr>
          <w:p>
            <w:pPr>
              <w:spacing w:after="0"/>
              <w:jc w:val="left"/>
            </w:pPr>
            <w:r>
              <w:rPr>
                <w:sz w:val="16"/>
              </w:rPr>
              <w:t>Relatively Low</w:t>
            </w:r>
          </w:p>
        </w:tc>
        <w:tc>
          <w:tcPr>
            <w:tcW w:type="dxa" w:w="1126"/>
          </w:tcPr>
          <w:p>
            <w:pPr>
              <w:spacing w:after="0"/>
              <w:jc w:val="right"/>
            </w:pPr>
            <w:r>
              <w:rPr>
                <w:sz w:val="16"/>
              </w:rPr>
              <w:t>$9,298</w:t>
            </w:r>
          </w:p>
        </w:tc>
        <w:tc>
          <w:tcPr>
            <w:tcW w:type="dxa" w:w="1126"/>
          </w:tcPr>
          <w:p>
            <w:pPr>
              <w:spacing w:after="0"/>
              <w:jc w:val="right"/>
            </w:pPr>
            <w:r>
              <w:rPr>
                <w:sz w:val="16"/>
              </w:rPr>
              <w:t>$2</w:t>
            </w:r>
          </w:p>
        </w:tc>
        <w:tc>
          <w:tcPr>
            <w:tcW w:type="dxa" w:w="1288"/>
          </w:tcPr>
          <w:p>
            <w:pPr>
              <w:spacing w:after="0"/>
              <w:jc w:val="right"/>
            </w:pPr>
            <w:r>
              <w:rPr>
                <w:sz w:val="16"/>
              </w:rPr>
              <w:t>$1,419,165</w:t>
            </w:r>
          </w:p>
        </w:tc>
        <w:tc>
          <w:tcPr>
            <w:tcW w:type="dxa" w:w="1161"/>
          </w:tcPr>
          <w:p>
            <w:pPr>
              <w:spacing w:after="0"/>
              <w:jc w:val="right"/>
            </w:pPr>
            <w:r>
              <w:rPr>
                <w:sz w:val="16"/>
              </w:rPr>
              <w:t>$1,428,464</w:t>
            </w:r>
          </w:p>
        </w:tc>
        <w:tc>
          <w:tcPr>
            <w:tcW w:type="dxa" w:w="1178"/>
          </w:tcPr>
          <w:p>
            <w:pPr>
              <w:spacing w:after="0"/>
              <w:jc w:val="right"/>
            </w:pPr>
            <w:r>
              <w:rPr>
                <w:sz w:val="16"/>
              </w:rPr>
              <w:t>70</w:t>
            </w:r>
          </w:p>
        </w:tc>
        <w:tc>
          <w:tcPr>
            <w:tcW w:type="dxa" w:w="2120"/>
          </w:tcPr>
          <w:p>
            <w:pPr>
              <w:spacing w:after="0"/>
              <w:jc w:val="left"/>
            </w:pPr>
          </w:p>
        </w:tc>
        <w:tc>
          <w:tcPr>
            <w:tcW w:type="dxa" w:w="2038"/>
          </w:tcPr>
          <w:p>
            <w:pPr>
              <w:spacing w:after="0"/>
              <w:jc w:val="left"/>
            </w:pPr>
          </w:p>
        </w:tc>
      </w:tr>
      <w:tr>
        <w:trPr>
          <w:cantSplit/>
        </w:trPr>
        <w:tc>
          <w:tcPr>
            <w:tcW w:type="dxa" w:w="682"/>
          </w:tcPr>
          <w:p>
            <w:pPr>
              <w:spacing w:after="0"/>
              <w:jc w:val="right"/>
            </w:pPr>
            <w:r>
              <w:rPr>
                <w:sz w:val="16"/>
              </w:rPr>
              <w:t>6</w:t>
            </w:r>
          </w:p>
        </w:tc>
        <w:tc>
          <w:tcPr>
            <w:tcW w:type="dxa" w:w="1037"/>
          </w:tcPr>
          <w:p>
            <w:pPr>
              <w:spacing w:after="0"/>
              <w:jc w:val="left"/>
            </w:pPr>
            <w:r>
              <w:rPr>
                <w:sz w:val="16"/>
              </w:rPr>
              <w:t>Cold Wave</w:t>
            </w:r>
          </w:p>
        </w:tc>
        <w:tc>
          <w:tcPr>
            <w:tcW w:type="dxa" w:w="1178"/>
          </w:tcPr>
          <w:p>
            <w:pPr>
              <w:spacing w:after="0"/>
              <w:jc w:val="left"/>
            </w:pPr>
            <w:r>
              <w:rPr>
                <w:sz w:val="16"/>
              </w:rPr>
              <w:t>Relatively Low</w:t>
            </w:r>
          </w:p>
        </w:tc>
        <w:tc>
          <w:tcPr>
            <w:tcW w:type="dxa" w:w="1178"/>
          </w:tcPr>
          <w:p>
            <w:pPr>
              <w:spacing w:after="0"/>
              <w:jc w:val="left"/>
            </w:pPr>
            <w:r>
              <w:rPr>
                <w:sz w:val="16"/>
              </w:rPr>
              <w:t>Relatively Low</w:t>
            </w:r>
          </w:p>
        </w:tc>
        <w:tc>
          <w:tcPr>
            <w:tcW w:type="dxa" w:w="1126"/>
          </w:tcPr>
          <w:p>
            <w:pPr>
              <w:spacing w:after="0"/>
              <w:jc w:val="right"/>
            </w:pPr>
            <w:r>
              <w:rPr>
                <w:sz w:val="16"/>
              </w:rPr>
              <w:t>$204</w:t>
            </w:r>
          </w:p>
        </w:tc>
        <w:tc>
          <w:tcPr>
            <w:tcW w:type="dxa" w:w="1126"/>
          </w:tcPr>
          <w:p>
            <w:pPr>
              <w:spacing w:after="0"/>
              <w:jc w:val="right"/>
            </w:pPr>
            <w:r>
              <w:rPr>
                <w:sz w:val="16"/>
              </w:rPr>
              <w:t>$23,642</w:t>
            </w:r>
          </w:p>
        </w:tc>
        <w:tc>
          <w:tcPr>
            <w:tcW w:type="dxa" w:w="1288"/>
          </w:tcPr>
          <w:p>
            <w:pPr>
              <w:spacing w:after="0"/>
              <w:jc w:val="right"/>
            </w:pPr>
            <w:r>
              <w:rPr>
                <w:sz w:val="16"/>
              </w:rPr>
              <w:t>$695,993</w:t>
            </w:r>
          </w:p>
        </w:tc>
        <w:tc>
          <w:tcPr>
            <w:tcW w:type="dxa" w:w="1161"/>
          </w:tcPr>
          <w:p>
            <w:pPr>
              <w:spacing w:after="0"/>
              <w:jc w:val="right"/>
            </w:pPr>
            <w:r>
              <w:rPr>
                <w:sz w:val="16"/>
              </w:rPr>
              <w:t>$719,840</w:t>
            </w:r>
          </w:p>
        </w:tc>
        <w:tc>
          <w:tcPr>
            <w:tcW w:type="dxa" w:w="1178"/>
          </w:tcPr>
          <w:p>
            <w:pPr>
              <w:spacing w:after="0"/>
              <w:jc w:val="right"/>
            </w:pPr>
            <w:r>
              <w:rPr>
                <w:sz w:val="16"/>
              </w:rPr>
              <w:t>72</w:t>
            </w:r>
          </w:p>
        </w:tc>
        <w:tc>
          <w:tcPr>
            <w:tcW w:type="dxa" w:w="2120"/>
          </w:tcPr>
          <w:p>
            <w:pPr>
              <w:spacing w:after="0"/>
              <w:jc w:val="left"/>
            </w:pPr>
          </w:p>
        </w:tc>
        <w:tc>
          <w:tcPr>
            <w:tcW w:type="dxa" w:w="2038"/>
          </w:tcPr>
          <w:p>
            <w:pPr>
              <w:spacing w:after="0"/>
              <w:jc w:val="left"/>
            </w:pPr>
            <w:r>
              <w:rPr>
                <w:sz w:val="16"/>
              </w:rPr>
              <w:t>Includes 50 Frost/Freeze records, event types the NRI definition of this hazard leaves out.</w:t>
            </w:r>
          </w:p>
        </w:tc>
      </w:tr>
      <w:tr>
        <w:trPr>
          <w:cantSplit/>
        </w:trPr>
        <w:tc>
          <w:tcPr>
            <w:tcW w:type="dxa" w:w="682"/>
          </w:tcPr>
          <w:p>
            <w:pPr>
              <w:spacing w:after="0"/>
              <w:jc w:val="right"/>
            </w:pPr>
            <w:r>
              <w:rPr>
                <w:sz w:val="16"/>
              </w:rPr>
              <w:t>7</w:t>
            </w:r>
          </w:p>
        </w:tc>
        <w:tc>
          <w:tcPr>
            <w:tcW w:type="dxa" w:w="1037"/>
          </w:tcPr>
          <w:p>
            <w:pPr>
              <w:spacing w:after="0"/>
              <w:jc w:val="left"/>
            </w:pPr>
            <w:r>
              <w:rPr>
                <w:sz w:val="16"/>
              </w:rPr>
              <w:t>Ice Storm</w:t>
            </w:r>
          </w:p>
        </w:tc>
        <w:tc>
          <w:tcPr>
            <w:tcW w:type="dxa" w:w="1178"/>
          </w:tcPr>
          <w:p>
            <w:pPr>
              <w:spacing w:after="0"/>
              <w:jc w:val="left"/>
            </w:pPr>
            <w:r>
              <w:rPr>
                <w:sz w:val="16"/>
              </w:rPr>
              <w:t>Relatively Moderate</w:t>
            </w:r>
          </w:p>
        </w:tc>
        <w:tc>
          <w:tcPr>
            <w:tcW w:type="dxa" w:w="1178"/>
          </w:tcPr>
          <w:p>
            <w:pPr>
              <w:spacing w:after="0"/>
              <w:jc w:val="left"/>
            </w:pPr>
            <w:r>
              <w:rPr>
                <w:sz w:val="16"/>
              </w:rPr>
              <w:t>Relatively Moderate</w:t>
            </w:r>
          </w:p>
        </w:tc>
        <w:tc>
          <w:tcPr>
            <w:tcW w:type="dxa" w:w="1126"/>
          </w:tcPr>
          <w:p>
            <w:pPr>
              <w:spacing w:after="0"/>
              <w:jc w:val="right"/>
            </w:pPr>
            <w:r>
              <w:rPr>
                <w:sz w:val="16"/>
              </w:rPr>
              <w:t>$318,123</w:t>
            </w:r>
          </w:p>
        </w:tc>
        <w:tc>
          <w:tcPr>
            <w:tcW w:type="dxa" w:w="1126"/>
          </w:tcPr>
          <w:p>
            <w:pPr>
              <w:spacing w:after="0"/>
              <w:jc w:val="right"/>
            </w:pPr>
          </w:p>
        </w:tc>
        <w:tc>
          <w:tcPr>
            <w:tcW w:type="dxa" w:w="1288"/>
          </w:tcPr>
          <w:p>
            <w:pPr>
              <w:spacing w:after="0"/>
              <w:jc w:val="right"/>
            </w:pPr>
            <w:r>
              <w:rPr>
                <w:sz w:val="16"/>
              </w:rPr>
              <w:t>$125,766</w:t>
            </w:r>
          </w:p>
        </w:tc>
        <w:tc>
          <w:tcPr>
            <w:tcW w:type="dxa" w:w="1161"/>
          </w:tcPr>
          <w:p>
            <w:pPr>
              <w:spacing w:after="0"/>
              <w:jc w:val="right"/>
            </w:pPr>
            <w:r>
              <w:rPr>
                <w:sz w:val="16"/>
              </w:rPr>
              <w:t>$443,889</w:t>
            </w:r>
          </w:p>
        </w:tc>
        <w:tc>
          <w:tcPr>
            <w:tcW w:type="dxa" w:w="1178"/>
          </w:tcPr>
          <w:p>
            <w:pPr>
              <w:spacing w:after="0"/>
              <w:jc w:val="right"/>
            </w:pPr>
            <w:r>
              <w:rPr>
                <w:sz w:val="16"/>
              </w:rPr>
              <w:t>5</w:t>
            </w:r>
          </w:p>
        </w:tc>
        <w:tc>
          <w:tcPr>
            <w:tcW w:type="dxa" w:w="2120"/>
          </w:tcPr>
          <w:p>
            <w:pPr>
              <w:spacing w:after="0"/>
              <w:jc w:val="left"/>
            </w:pPr>
          </w:p>
        </w:tc>
        <w:tc>
          <w:tcPr>
            <w:tcW w:type="dxa" w:w="2038"/>
          </w:tcPr>
          <w:p>
            <w:pPr>
              <w:spacing w:after="0"/>
              <w:jc w:val="left"/>
            </w:pPr>
          </w:p>
        </w:tc>
      </w:tr>
      <w:tr>
        <w:trPr>
          <w:cantSplit/>
        </w:trPr>
        <w:tc>
          <w:tcPr>
            <w:tcW w:type="dxa" w:w="682"/>
          </w:tcPr>
          <w:p>
            <w:pPr>
              <w:spacing w:after="0"/>
              <w:jc w:val="right"/>
            </w:pPr>
            <w:r>
              <w:rPr>
                <w:sz w:val="16"/>
              </w:rPr>
              <w:t>8</w:t>
            </w:r>
          </w:p>
        </w:tc>
        <w:tc>
          <w:tcPr>
            <w:tcW w:type="dxa" w:w="1037"/>
          </w:tcPr>
          <w:p>
            <w:pPr>
              <w:spacing w:after="0"/>
              <w:jc w:val="left"/>
            </w:pPr>
            <w:r>
              <w:rPr>
                <w:sz w:val="16"/>
              </w:rPr>
              <w:t>Hail</w:t>
            </w:r>
          </w:p>
        </w:tc>
        <w:tc>
          <w:tcPr>
            <w:tcW w:type="dxa" w:w="1178"/>
          </w:tcPr>
          <w:p>
            <w:pPr>
              <w:spacing w:after="0"/>
              <w:jc w:val="left"/>
            </w:pPr>
            <w:r>
              <w:rPr>
                <w:sz w:val="16"/>
              </w:rPr>
              <w:t>Relatively Low</w:t>
            </w:r>
          </w:p>
        </w:tc>
        <w:tc>
          <w:tcPr>
            <w:tcW w:type="dxa" w:w="1178"/>
          </w:tcPr>
          <w:p>
            <w:pPr>
              <w:spacing w:after="0"/>
              <w:jc w:val="left"/>
            </w:pPr>
            <w:r>
              <w:rPr>
                <w:sz w:val="16"/>
              </w:rPr>
              <w:t>Relatively Low</w:t>
            </w:r>
          </w:p>
        </w:tc>
        <w:tc>
          <w:tcPr>
            <w:tcW w:type="dxa" w:w="1126"/>
          </w:tcPr>
          <w:p>
            <w:pPr>
              <w:spacing w:after="0"/>
              <w:jc w:val="right"/>
            </w:pPr>
            <w:r>
              <w:rPr>
                <w:sz w:val="16"/>
              </w:rPr>
              <w:t>$286,788</w:t>
            </w:r>
          </w:p>
        </w:tc>
        <w:tc>
          <w:tcPr>
            <w:tcW w:type="dxa" w:w="1126"/>
          </w:tcPr>
          <w:p>
            <w:pPr>
              <w:spacing w:after="0"/>
              <w:jc w:val="right"/>
            </w:pPr>
            <w:r>
              <w:rPr>
                <w:sz w:val="16"/>
              </w:rPr>
              <w:t>$2,433</w:t>
            </w:r>
          </w:p>
        </w:tc>
        <w:tc>
          <w:tcPr>
            <w:tcW w:type="dxa" w:w="1288"/>
          </w:tcPr>
          <w:p>
            <w:pPr>
              <w:spacing w:after="0"/>
              <w:jc w:val="right"/>
            </w:pPr>
            <w:r>
              <w:rPr>
                <w:sz w:val="16"/>
              </w:rPr>
              <w:t>$34,089</w:t>
            </w:r>
          </w:p>
        </w:tc>
        <w:tc>
          <w:tcPr>
            <w:tcW w:type="dxa" w:w="1161"/>
          </w:tcPr>
          <w:p>
            <w:pPr>
              <w:spacing w:after="0"/>
              <w:jc w:val="right"/>
            </w:pPr>
            <w:r>
              <w:rPr>
                <w:sz w:val="16"/>
              </w:rPr>
              <w:t>$323,311</w:t>
            </w:r>
          </w:p>
        </w:tc>
        <w:tc>
          <w:tcPr>
            <w:tcW w:type="dxa" w:w="1178"/>
          </w:tcPr>
          <w:p>
            <w:pPr>
              <w:spacing w:after="0"/>
              <w:jc w:val="right"/>
            </w:pPr>
            <w:r>
              <w:rPr>
                <w:sz w:val="16"/>
              </w:rPr>
              <w:t>64</w:t>
            </w:r>
          </w:p>
        </w:tc>
        <w:tc>
          <w:tcPr>
            <w:tcW w:type="dxa" w:w="2120"/>
          </w:tcPr>
          <w:p>
            <w:pPr>
              <w:spacing w:after="0"/>
              <w:jc w:val="left"/>
            </w:pPr>
          </w:p>
        </w:tc>
        <w:tc>
          <w:tcPr>
            <w:tcW w:type="dxa" w:w="2038"/>
          </w:tcPr>
          <w:p>
            <w:pPr>
              <w:spacing w:after="0"/>
              <w:jc w:val="left"/>
            </w:pPr>
          </w:p>
        </w:tc>
      </w:tr>
      <w:tr>
        <w:trPr>
          <w:cantSplit/>
        </w:trPr>
        <w:tc>
          <w:tcPr>
            <w:tcW w:type="dxa" w:w="682"/>
          </w:tcPr>
          <w:p>
            <w:pPr>
              <w:spacing w:after="0"/>
              <w:jc w:val="right"/>
            </w:pPr>
            <w:r>
              <w:rPr>
                <w:sz w:val="16"/>
              </w:rPr>
              <w:t>9</w:t>
            </w:r>
          </w:p>
        </w:tc>
        <w:tc>
          <w:tcPr>
            <w:tcW w:type="dxa" w:w="1037"/>
          </w:tcPr>
          <w:p>
            <w:pPr>
              <w:spacing w:after="0"/>
              <w:jc w:val="left"/>
            </w:pPr>
            <w:r>
              <w:rPr>
                <w:sz w:val="16"/>
              </w:rPr>
              <w:t>Winter Weather</w:t>
            </w:r>
          </w:p>
        </w:tc>
        <w:tc>
          <w:tcPr>
            <w:tcW w:type="dxa" w:w="1178"/>
          </w:tcPr>
          <w:p>
            <w:pPr>
              <w:spacing w:after="0"/>
              <w:jc w:val="left"/>
            </w:pPr>
            <w:r>
              <w:rPr>
                <w:sz w:val="16"/>
              </w:rPr>
              <w:t>Relatively Moderate</w:t>
            </w:r>
          </w:p>
        </w:tc>
        <w:tc>
          <w:tcPr>
            <w:tcW w:type="dxa" w:w="1178"/>
          </w:tcPr>
          <w:p>
            <w:pPr>
              <w:spacing w:after="0"/>
              <w:jc w:val="left"/>
            </w:pPr>
            <w:r>
              <w:rPr>
                <w:sz w:val="16"/>
              </w:rPr>
              <w:t>Relatively Moderate</w:t>
            </w:r>
          </w:p>
        </w:tc>
        <w:tc>
          <w:tcPr>
            <w:tcW w:type="dxa" w:w="1126"/>
          </w:tcPr>
          <w:p>
            <w:pPr>
              <w:spacing w:after="0"/>
              <w:jc w:val="right"/>
            </w:pPr>
            <w:r>
              <w:rPr>
                <w:sz w:val="16"/>
              </w:rPr>
              <w:t>$108,452</w:t>
            </w:r>
          </w:p>
        </w:tc>
        <w:tc>
          <w:tcPr>
            <w:tcW w:type="dxa" w:w="1126"/>
          </w:tcPr>
          <w:p>
            <w:pPr>
              <w:spacing w:after="0"/>
              <w:jc w:val="right"/>
            </w:pPr>
            <w:r>
              <w:rPr>
                <w:sz w:val="16"/>
              </w:rPr>
              <w:t>$179</w:t>
            </w:r>
          </w:p>
        </w:tc>
        <w:tc>
          <w:tcPr>
            <w:tcW w:type="dxa" w:w="1288"/>
          </w:tcPr>
          <w:p>
            <w:pPr>
              <w:spacing w:after="0"/>
              <w:jc w:val="right"/>
            </w:pPr>
            <w:r>
              <w:rPr>
                <w:sz w:val="16"/>
              </w:rPr>
              <w:t>$106,761</w:t>
            </w:r>
          </w:p>
        </w:tc>
        <w:tc>
          <w:tcPr>
            <w:tcW w:type="dxa" w:w="1161"/>
          </w:tcPr>
          <w:p>
            <w:pPr>
              <w:spacing w:after="0"/>
              <w:jc w:val="right"/>
            </w:pPr>
            <w:r>
              <w:rPr>
                <w:sz w:val="16"/>
              </w:rPr>
              <w:t>$215,391</w:t>
            </w:r>
          </w:p>
        </w:tc>
        <w:tc>
          <w:tcPr>
            <w:tcW w:type="dxa" w:w="1178"/>
          </w:tcPr>
          <w:p>
            <w:pPr>
              <w:spacing w:after="0"/>
              <w:jc w:val="right"/>
            </w:pPr>
            <w:r>
              <w:rPr>
                <w:sz w:val="16"/>
              </w:rPr>
              <w:t>115</w:t>
            </w:r>
          </w:p>
        </w:tc>
        <w:tc>
          <w:tcPr>
            <w:tcW w:type="dxa" w:w="2120"/>
          </w:tcPr>
          <w:p>
            <w:pPr>
              <w:spacing w:after="0"/>
              <w:jc w:val="left"/>
            </w:pPr>
          </w:p>
        </w:tc>
        <w:tc>
          <w:tcPr>
            <w:tcW w:type="dxa" w:w="2038"/>
          </w:tcPr>
          <w:p>
            <w:pPr>
              <w:spacing w:after="0"/>
              <w:jc w:val="left"/>
            </w:pPr>
          </w:p>
        </w:tc>
      </w:tr>
      <w:tr>
        <w:trPr>
          <w:cantSplit/>
        </w:trPr>
        <w:tc>
          <w:tcPr>
            <w:tcW w:type="dxa" w:w="682"/>
          </w:tcPr>
          <w:p>
            <w:pPr>
              <w:spacing w:after="0"/>
              <w:jc w:val="right"/>
            </w:pPr>
            <w:r>
              <w:rPr>
                <w:sz w:val="16"/>
              </w:rPr>
              <w:t>10</w:t>
            </w:r>
          </w:p>
        </w:tc>
        <w:tc>
          <w:tcPr>
            <w:tcW w:type="dxa" w:w="1037"/>
          </w:tcPr>
          <w:p>
            <w:pPr>
              <w:spacing w:after="0"/>
              <w:jc w:val="left"/>
            </w:pPr>
            <w:r>
              <w:rPr>
                <w:sz w:val="16"/>
              </w:rPr>
              <w:t>Lightning</w:t>
            </w:r>
          </w:p>
        </w:tc>
        <w:tc>
          <w:tcPr>
            <w:tcW w:type="dxa" w:w="1178"/>
          </w:tcPr>
          <w:p>
            <w:pPr>
              <w:spacing w:after="0"/>
              <w:jc w:val="left"/>
            </w:pPr>
            <w:r>
              <w:rPr>
                <w:sz w:val="16"/>
              </w:rPr>
              <w:t>Relatively Low</w:t>
            </w:r>
          </w:p>
        </w:tc>
        <w:tc>
          <w:tcPr>
            <w:tcW w:type="dxa" w:w="1178"/>
          </w:tcPr>
          <w:p>
            <w:pPr>
              <w:spacing w:after="0"/>
              <w:jc w:val="left"/>
            </w:pPr>
            <w:r>
              <w:rPr>
                <w:sz w:val="16"/>
              </w:rPr>
              <w:t>Relatively Low</w:t>
            </w:r>
          </w:p>
        </w:tc>
        <w:tc>
          <w:tcPr>
            <w:tcW w:type="dxa" w:w="1126"/>
          </w:tcPr>
          <w:p>
            <w:pPr>
              <w:spacing w:after="0"/>
              <w:jc w:val="right"/>
            </w:pPr>
            <w:r>
              <w:rPr>
                <w:sz w:val="16"/>
              </w:rPr>
              <w:t>$14,443</w:t>
            </w:r>
          </w:p>
        </w:tc>
        <w:tc>
          <w:tcPr>
            <w:tcW w:type="dxa" w:w="1126"/>
          </w:tcPr>
          <w:p>
            <w:pPr>
              <w:spacing w:after="0"/>
              <w:jc w:val="right"/>
            </w:pPr>
          </w:p>
        </w:tc>
        <w:tc>
          <w:tcPr>
            <w:tcW w:type="dxa" w:w="1288"/>
          </w:tcPr>
          <w:p>
            <w:pPr>
              <w:spacing w:after="0"/>
              <w:jc w:val="right"/>
            </w:pPr>
            <w:r>
              <w:rPr>
                <w:sz w:val="16"/>
              </w:rPr>
              <w:t>$191,800</w:t>
            </w:r>
          </w:p>
        </w:tc>
        <w:tc>
          <w:tcPr>
            <w:tcW w:type="dxa" w:w="1161"/>
          </w:tcPr>
          <w:p>
            <w:pPr>
              <w:spacing w:after="0"/>
              <w:jc w:val="right"/>
            </w:pPr>
            <w:r>
              <w:rPr>
                <w:sz w:val="16"/>
              </w:rPr>
              <w:t>$206,243</w:t>
            </w:r>
          </w:p>
        </w:tc>
        <w:tc>
          <w:tcPr>
            <w:tcW w:type="dxa" w:w="1178"/>
          </w:tcPr>
          <w:p>
            <w:pPr>
              <w:spacing w:after="0"/>
              <w:jc w:val="right"/>
            </w:pPr>
            <w:r>
              <w:rPr>
                <w:sz w:val="16"/>
              </w:rPr>
              <w:t>1</w:t>
            </w:r>
          </w:p>
        </w:tc>
        <w:tc>
          <w:tcPr>
            <w:tcW w:type="dxa" w:w="2120"/>
          </w:tcPr>
          <w:p>
            <w:pPr>
              <w:spacing w:after="0"/>
              <w:jc w:val="left"/>
            </w:pPr>
          </w:p>
        </w:tc>
        <w:tc>
          <w:tcPr>
            <w:tcW w:type="dxa" w:w="2038"/>
          </w:tcPr>
          <w:p>
            <w:pPr>
              <w:spacing w:after="0"/>
              <w:jc w:val="left"/>
            </w:pPr>
          </w:p>
        </w:tc>
      </w:tr>
      <w:tr>
        <w:trPr>
          <w:cantSplit/>
        </w:trPr>
        <w:tc>
          <w:tcPr>
            <w:tcW w:type="dxa" w:w="682"/>
          </w:tcPr>
          <w:p>
            <w:pPr>
              <w:spacing w:after="0"/>
              <w:jc w:val="right"/>
            </w:pPr>
            <w:r>
              <w:rPr>
                <w:sz w:val="16"/>
              </w:rPr>
              <w:t>11</w:t>
            </w:r>
          </w:p>
        </w:tc>
        <w:tc>
          <w:tcPr>
            <w:tcW w:type="dxa" w:w="1037"/>
          </w:tcPr>
          <w:p>
            <w:pPr>
              <w:spacing w:after="0"/>
              <w:jc w:val="left"/>
            </w:pPr>
            <w:r>
              <w:rPr>
                <w:sz w:val="16"/>
              </w:rPr>
              <w:t>Drought</w:t>
            </w:r>
          </w:p>
        </w:tc>
        <w:tc>
          <w:tcPr>
            <w:tcW w:type="dxa" w:w="1178"/>
          </w:tcPr>
          <w:p>
            <w:pPr>
              <w:spacing w:after="0"/>
              <w:jc w:val="left"/>
            </w:pPr>
            <w:r>
              <w:rPr>
                <w:sz w:val="16"/>
              </w:rPr>
              <w:t>Relatively Low</w:t>
            </w:r>
          </w:p>
        </w:tc>
        <w:tc>
          <w:tcPr>
            <w:tcW w:type="dxa" w:w="1178"/>
          </w:tcPr>
          <w:p>
            <w:pPr>
              <w:spacing w:after="0"/>
              <w:jc w:val="left"/>
            </w:pPr>
            <w:r>
              <w:rPr>
                <w:sz w:val="16"/>
              </w:rPr>
              <w:t>Relatively Low</w:t>
            </w:r>
          </w:p>
        </w:tc>
        <w:tc>
          <w:tcPr>
            <w:tcW w:type="dxa" w:w="1126"/>
          </w:tcPr>
          <w:p>
            <w:pPr>
              <w:spacing w:after="0"/>
              <w:jc w:val="right"/>
            </w:pPr>
          </w:p>
        </w:tc>
        <w:tc>
          <w:tcPr>
            <w:tcW w:type="dxa" w:w="1126"/>
          </w:tcPr>
          <w:p>
            <w:pPr>
              <w:spacing w:after="0"/>
              <w:jc w:val="right"/>
            </w:pPr>
            <w:r>
              <w:rPr>
                <w:sz w:val="16"/>
              </w:rPr>
              <w:t>$151,251</w:t>
            </w:r>
          </w:p>
        </w:tc>
        <w:tc>
          <w:tcPr>
            <w:tcW w:type="dxa" w:w="1288"/>
          </w:tcPr>
          <w:p>
            <w:pPr>
              <w:spacing w:after="0"/>
              <w:jc w:val="right"/>
            </w:pPr>
          </w:p>
        </w:tc>
        <w:tc>
          <w:tcPr>
            <w:tcW w:type="dxa" w:w="1161"/>
          </w:tcPr>
          <w:p>
            <w:pPr>
              <w:spacing w:after="0"/>
              <w:jc w:val="right"/>
            </w:pPr>
            <w:r>
              <w:rPr>
                <w:sz w:val="16"/>
              </w:rPr>
              <w:t>$151,251</w:t>
            </w:r>
          </w:p>
        </w:tc>
        <w:tc>
          <w:tcPr>
            <w:tcW w:type="dxa" w:w="1178"/>
          </w:tcPr>
          <w:p>
            <w:pPr>
              <w:spacing w:after="0"/>
              <w:jc w:val="right"/>
            </w:pPr>
            <w:r>
              <w:rPr>
                <w:sz w:val="16"/>
              </w:rPr>
              <w:t>22</w:t>
            </w:r>
          </w:p>
        </w:tc>
        <w:tc>
          <w:tcPr>
            <w:tcW w:type="dxa" w:w="2120"/>
          </w:tcPr>
          <w:p>
            <w:pPr>
              <w:spacing w:after="0"/>
              <w:jc w:val="left"/>
            </w:pPr>
          </w:p>
        </w:tc>
        <w:tc>
          <w:tcPr>
            <w:tcW w:type="dxa" w:w="2038"/>
          </w:tcPr>
          <w:p>
            <w:pPr>
              <w:spacing w:after="0"/>
              <w:jc w:val="left"/>
            </w:pPr>
          </w:p>
        </w:tc>
      </w:tr>
      <w:tr>
        <w:trPr>
          <w:cantSplit/>
        </w:trPr>
        <w:tc>
          <w:tcPr>
            <w:tcW w:type="dxa" w:w="682"/>
          </w:tcPr>
          <w:p>
            <w:pPr>
              <w:spacing w:after="0"/>
              <w:jc w:val="right"/>
            </w:pPr>
            <w:r>
              <w:rPr>
                <w:sz w:val="16"/>
              </w:rPr>
              <w:t>12</w:t>
            </w:r>
          </w:p>
        </w:tc>
        <w:tc>
          <w:tcPr>
            <w:tcW w:type="dxa" w:w="1037"/>
          </w:tcPr>
          <w:p>
            <w:pPr>
              <w:spacing w:after="0"/>
              <w:jc w:val="left"/>
            </w:pPr>
            <w:r>
              <w:rPr>
                <w:sz w:val="16"/>
              </w:rPr>
              <w:t>Wildfire</w:t>
            </w:r>
          </w:p>
        </w:tc>
        <w:tc>
          <w:tcPr>
            <w:tcW w:type="dxa" w:w="1178"/>
          </w:tcPr>
          <w:p>
            <w:pPr>
              <w:spacing w:after="0"/>
              <w:jc w:val="left"/>
            </w:pPr>
            <w:r>
              <w:rPr>
                <w:sz w:val="16"/>
              </w:rPr>
              <w:t>Very Low</w:t>
            </w:r>
          </w:p>
        </w:tc>
        <w:tc>
          <w:tcPr>
            <w:tcW w:type="dxa" w:w="1178"/>
          </w:tcPr>
          <w:p>
            <w:pPr>
              <w:spacing w:after="0"/>
              <w:jc w:val="left"/>
            </w:pPr>
            <w:r>
              <w:rPr>
                <w:sz w:val="16"/>
              </w:rPr>
              <w:t>Very Low</w:t>
            </w:r>
          </w:p>
        </w:tc>
        <w:tc>
          <w:tcPr>
            <w:tcW w:type="dxa" w:w="1126"/>
          </w:tcPr>
          <w:p>
            <w:pPr>
              <w:spacing w:after="0"/>
              <w:jc w:val="right"/>
            </w:pPr>
            <w:r>
              <w:rPr>
                <w:sz w:val="16"/>
              </w:rPr>
              <w:t>$17,737</w:t>
            </w:r>
          </w:p>
        </w:tc>
        <w:tc>
          <w:tcPr>
            <w:tcW w:type="dxa" w:w="1126"/>
          </w:tcPr>
          <w:p>
            <w:pPr>
              <w:spacing w:after="0"/>
              <w:jc w:val="right"/>
            </w:pPr>
            <w:r>
              <w:rPr>
                <w:sz w:val="16"/>
              </w:rPr>
              <w:t>$16</w:t>
            </w:r>
          </w:p>
        </w:tc>
        <w:tc>
          <w:tcPr>
            <w:tcW w:type="dxa" w:w="1288"/>
          </w:tcPr>
          <w:p>
            <w:pPr>
              <w:spacing w:after="0"/>
              <w:jc w:val="right"/>
            </w:pPr>
            <w:r>
              <w:rPr>
                <w:sz w:val="16"/>
              </w:rPr>
              <w:t>$5,729</w:t>
            </w:r>
          </w:p>
        </w:tc>
        <w:tc>
          <w:tcPr>
            <w:tcW w:type="dxa" w:w="1161"/>
          </w:tcPr>
          <w:p>
            <w:pPr>
              <w:spacing w:after="0"/>
              <w:jc w:val="right"/>
            </w:pPr>
            <w:r>
              <w:rPr>
                <w:sz w:val="16"/>
              </w:rPr>
              <w:t>$23,482</w:t>
            </w:r>
          </w:p>
        </w:tc>
        <w:tc>
          <w:tcPr>
            <w:tcW w:type="dxa" w:w="1178"/>
          </w:tcPr>
          <w:p>
            <w:pPr>
              <w:spacing w:after="0"/>
              <w:jc w:val="right"/>
            </w:pPr>
            <w:r>
              <w:rPr>
                <w:sz w:val="16"/>
              </w:rPr>
              <w:t>0</w:t>
            </w:r>
          </w:p>
        </w:tc>
        <w:tc>
          <w:tcPr>
            <w:tcW w:type="dxa" w:w="2120"/>
          </w:tcPr>
          <w:p>
            <w:pPr>
              <w:spacing w:after="0"/>
              <w:jc w:val="left"/>
            </w:pPr>
          </w:p>
        </w:tc>
        <w:tc>
          <w:tcPr>
            <w:tcW w:type="dxa" w:w="2038"/>
          </w:tcPr>
          <w:p>
            <w:pPr>
              <w:spacing w:after="0"/>
              <w:jc w:val="left"/>
            </w:pPr>
            <w:r>
              <w:rPr>
                <w:sz w:val="16"/>
              </w:rPr>
              <w:t>No recorded events in Storm Events since 1996 (data through 2026-06-30). Storm Events coverage of this hazard is limited; absence is not evidence of low risk.</w:t>
            </w:r>
          </w:p>
        </w:tc>
      </w:tr>
      <w:tr>
        <w:trPr>
          <w:cantSplit/>
        </w:trPr>
        <w:tc>
          <w:tcPr>
            <w:tcW w:type="dxa" w:w="682"/>
          </w:tcPr>
          <w:p>
            <w:pPr>
              <w:spacing w:after="0"/>
              <w:jc w:val="right"/>
            </w:pPr>
            <w:r>
              <w:rPr>
                <w:sz w:val="16"/>
              </w:rPr>
              <w:t>13</w:t>
            </w:r>
          </w:p>
        </w:tc>
        <w:tc>
          <w:tcPr>
            <w:tcW w:type="dxa" w:w="1037"/>
          </w:tcPr>
          <w:p>
            <w:pPr>
              <w:spacing w:after="0"/>
              <w:jc w:val="left"/>
            </w:pPr>
            <w:r>
              <w:rPr>
                <w:sz w:val="16"/>
              </w:rPr>
              <w:t>Hurricane</w:t>
            </w:r>
          </w:p>
        </w:tc>
        <w:tc>
          <w:tcPr>
            <w:tcW w:type="dxa" w:w="1178"/>
          </w:tcPr>
          <w:p>
            <w:pPr>
              <w:spacing w:after="0"/>
              <w:jc w:val="left"/>
            </w:pPr>
            <w:r>
              <w:rPr>
                <w:sz w:val="16"/>
              </w:rPr>
              <w:t>Very Low</w:t>
            </w:r>
          </w:p>
        </w:tc>
        <w:tc>
          <w:tcPr>
            <w:tcW w:type="dxa" w:w="1178"/>
          </w:tcPr>
          <w:p>
            <w:pPr>
              <w:spacing w:after="0"/>
              <w:jc w:val="left"/>
            </w:pPr>
            <w:r>
              <w:rPr>
                <w:sz w:val="16"/>
              </w:rPr>
              <w:t>Very Low</w:t>
            </w:r>
          </w:p>
        </w:tc>
        <w:tc>
          <w:tcPr>
            <w:tcW w:type="dxa" w:w="1126"/>
          </w:tcPr>
          <w:p>
            <w:pPr>
              <w:spacing w:after="0"/>
              <w:jc w:val="right"/>
            </w:pPr>
            <w:r>
              <w:rPr>
                <w:sz w:val="16"/>
              </w:rPr>
              <w:t>$7,110</w:t>
            </w:r>
          </w:p>
        </w:tc>
        <w:tc>
          <w:tcPr>
            <w:tcW w:type="dxa" w:w="1126"/>
          </w:tcPr>
          <w:p>
            <w:pPr>
              <w:spacing w:after="0"/>
              <w:jc w:val="right"/>
            </w:pPr>
            <w:r>
              <w:rPr>
                <w:sz w:val="16"/>
              </w:rPr>
              <w:t>$1,768</w:t>
            </w:r>
          </w:p>
        </w:tc>
        <w:tc>
          <w:tcPr>
            <w:tcW w:type="dxa" w:w="1288"/>
          </w:tcPr>
          <w:p>
            <w:pPr>
              <w:spacing w:after="0"/>
              <w:jc w:val="right"/>
            </w:pPr>
            <w:r>
              <w:rPr>
                <w:sz w:val="16"/>
              </w:rPr>
              <w:t>$48</w:t>
            </w:r>
          </w:p>
        </w:tc>
        <w:tc>
          <w:tcPr>
            <w:tcW w:type="dxa" w:w="1161"/>
          </w:tcPr>
          <w:p>
            <w:pPr>
              <w:spacing w:after="0"/>
              <w:jc w:val="right"/>
            </w:pPr>
            <w:r>
              <w:rPr>
                <w:sz w:val="16"/>
              </w:rPr>
              <w:t>$8,925</w:t>
            </w:r>
          </w:p>
        </w:tc>
        <w:tc>
          <w:tcPr>
            <w:tcW w:type="dxa" w:w="1178"/>
          </w:tcPr>
          <w:p>
            <w:pPr>
              <w:spacing w:after="0"/>
              <w:jc w:val="right"/>
            </w:pPr>
            <w:r>
              <w:rPr>
                <w:sz w:val="16"/>
              </w:rPr>
              <w:t>0</w:t>
            </w:r>
          </w:p>
        </w:tc>
        <w:tc>
          <w:tcPr>
            <w:tcW w:type="dxa" w:w="2120"/>
          </w:tcPr>
          <w:p>
            <w:pPr>
              <w:spacing w:after="0"/>
              <w:jc w:val="left"/>
            </w:pPr>
          </w:p>
        </w:tc>
        <w:tc>
          <w:tcPr>
            <w:tcW w:type="dxa" w:w="2038"/>
          </w:tcPr>
          <w:p>
            <w:pPr>
              <w:spacing w:after="0"/>
              <w:jc w:val="left"/>
            </w:pPr>
            <w:r>
              <w:rPr>
                <w:sz w:val="16"/>
              </w:rPr>
              <w:t>No recorded events in Storm Events since 1996 (data through 2026-06-30).</w:t>
            </w:r>
          </w:p>
        </w:tc>
      </w:tr>
      <w:tr>
        <w:trPr>
          <w:cantSplit/>
        </w:trPr>
        <w:tc>
          <w:tcPr>
            <w:tcW w:type="dxa" w:w="682"/>
          </w:tcPr>
          <w:p>
            <w:pPr>
              <w:spacing w:after="0"/>
              <w:jc w:val="right"/>
            </w:pPr>
            <w:r>
              <w:rPr>
                <w:sz w:val="16"/>
              </w:rPr>
              <w:t>14</w:t>
            </w:r>
          </w:p>
        </w:tc>
        <w:tc>
          <w:tcPr>
            <w:tcW w:type="dxa" w:w="1037"/>
          </w:tcPr>
          <w:p>
            <w:pPr>
              <w:spacing w:after="0"/>
              <w:jc w:val="left"/>
            </w:pPr>
            <w:r>
              <w:rPr>
                <w:sz w:val="16"/>
              </w:rPr>
              <w:t>Landslide</w:t>
            </w:r>
          </w:p>
        </w:tc>
        <w:tc>
          <w:tcPr>
            <w:tcW w:type="dxa" w:w="1178"/>
          </w:tcPr>
          <w:p>
            <w:pPr>
              <w:spacing w:after="0"/>
              <w:jc w:val="left"/>
            </w:pPr>
            <w:r>
              <w:rPr>
                <w:sz w:val="16"/>
              </w:rPr>
              <w:t>Very Low</w:t>
            </w:r>
          </w:p>
        </w:tc>
        <w:tc>
          <w:tcPr>
            <w:tcW w:type="dxa" w:w="1178"/>
          </w:tcPr>
          <w:p>
            <w:pPr>
              <w:spacing w:after="0"/>
              <w:jc w:val="left"/>
            </w:pPr>
            <w:r>
              <w:rPr>
                <w:sz w:val="16"/>
              </w:rPr>
              <w:t>Very Low</w:t>
            </w:r>
          </w:p>
        </w:tc>
        <w:tc>
          <w:tcPr>
            <w:tcW w:type="dxa" w:w="1126"/>
          </w:tcPr>
          <w:p>
            <w:pPr>
              <w:spacing w:after="0"/>
              <w:jc w:val="right"/>
            </w:pPr>
            <w:r>
              <w:rPr>
                <w:sz w:val="16"/>
              </w:rPr>
              <w:t>$46</w:t>
            </w:r>
          </w:p>
        </w:tc>
        <w:tc>
          <w:tcPr>
            <w:tcW w:type="dxa" w:w="1126"/>
          </w:tcPr>
          <w:p>
            <w:pPr>
              <w:spacing w:after="0"/>
              <w:jc w:val="right"/>
            </w:pPr>
          </w:p>
        </w:tc>
        <w:tc>
          <w:tcPr>
            <w:tcW w:type="dxa" w:w="1288"/>
          </w:tcPr>
          <w:p>
            <w:pPr>
              <w:spacing w:after="0"/>
              <w:jc w:val="right"/>
            </w:pPr>
            <w:r>
              <w:rPr>
                <w:sz w:val="16"/>
              </w:rPr>
              <w:t>$98</w:t>
            </w:r>
          </w:p>
        </w:tc>
        <w:tc>
          <w:tcPr>
            <w:tcW w:type="dxa" w:w="1161"/>
          </w:tcPr>
          <w:p>
            <w:pPr>
              <w:spacing w:after="0"/>
              <w:jc w:val="right"/>
            </w:pPr>
            <w:r>
              <w:rPr>
                <w:sz w:val="16"/>
              </w:rPr>
              <w:t>$144</w:t>
            </w:r>
          </w:p>
        </w:tc>
        <w:tc>
          <w:tcPr>
            <w:tcW w:type="dxa" w:w="1178"/>
          </w:tcPr>
          <w:p>
            <w:pPr>
              <w:spacing w:after="0"/>
              <w:jc w:val="right"/>
            </w:pPr>
            <w:r>
              <w:rPr>
                <w:sz w:val="16"/>
              </w:rPr>
              <w:t>0</w:t>
            </w:r>
          </w:p>
        </w:tc>
        <w:tc>
          <w:tcPr>
            <w:tcW w:type="dxa" w:w="2120"/>
          </w:tcPr>
          <w:p>
            <w:pPr>
              <w:spacing w:after="0"/>
              <w:jc w:val="left"/>
            </w:pPr>
          </w:p>
        </w:tc>
        <w:tc>
          <w:tcPr>
            <w:tcW w:type="dxa" w:w="2038"/>
          </w:tcPr>
          <w:p>
            <w:pPr>
              <w:spacing w:after="0"/>
              <w:jc w:val="left"/>
            </w:pPr>
            <w:r>
              <w:rPr>
                <w:sz w:val="16"/>
              </w:rPr>
              <w:t>No recorded events in Storm Events since 1996 (data through 2026-06-30). Storm Events coverage of this hazard is limited; absence is not evidence of low risk.</w:t>
            </w:r>
          </w:p>
        </w:tc>
      </w:tr>
      <w:tr>
        <w:trPr>
          <w:cantSplit/>
        </w:trPr>
        <w:tc>
          <w:tcPr>
            <w:tcW w:type="dxa" w:w="682"/>
          </w:tcPr>
          <w:p>
            <w:pPr>
              <w:spacing w:after="0"/>
              <w:jc w:val="right"/>
            </w:pPr>
          </w:p>
        </w:tc>
        <w:tc>
          <w:tcPr>
            <w:tcW w:type="dxa" w:w="1037"/>
          </w:tcPr>
          <w:p>
            <w:pPr>
              <w:spacing w:after="0"/>
              <w:jc w:val="left"/>
            </w:pPr>
            <w:r>
              <w:rPr>
                <w:sz w:val="16"/>
              </w:rPr>
              <w:t>Avalanche</w:t>
            </w:r>
          </w:p>
        </w:tc>
        <w:tc>
          <w:tcPr>
            <w:tcW w:type="dxa" w:w="1178"/>
          </w:tcPr>
          <w:p>
            <w:pPr>
              <w:spacing w:after="0"/>
              <w:jc w:val="left"/>
            </w:pPr>
            <w:r>
              <w:rPr>
                <w:sz w:val="16"/>
              </w:rPr>
              <w:t>Not Applicable</w:t>
            </w:r>
          </w:p>
        </w:tc>
        <w:tc>
          <w:tcPr>
            <w:tcW w:type="dxa" w:w="1178"/>
          </w:tcPr>
          <w:p>
            <w:pPr>
              <w:spacing w:after="0"/>
              <w:jc w:val="left"/>
            </w:pPr>
            <w:r>
              <w:rPr>
                <w:sz w:val="16"/>
              </w:rPr>
              <w:t>Not Applicable</w:t>
            </w:r>
          </w:p>
        </w:tc>
        <w:tc>
          <w:tcPr>
            <w:tcW w:type="dxa" w:w="1126"/>
          </w:tcPr>
          <w:p>
            <w:pPr>
              <w:spacing w:after="0"/>
              <w:jc w:val="right"/>
            </w:pPr>
          </w:p>
        </w:tc>
        <w:tc>
          <w:tcPr>
            <w:tcW w:type="dxa" w:w="1126"/>
          </w:tcPr>
          <w:p>
            <w:pPr>
              <w:spacing w:after="0"/>
              <w:jc w:val="right"/>
            </w:pPr>
          </w:p>
        </w:tc>
        <w:tc>
          <w:tcPr>
            <w:tcW w:type="dxa" w:w="1288"/>
          </w:tcPr>
          <w:p>
            <w:pPr>
              <w:spacing w:after="0"/>
              <w:jc w:val="right"/>
            </w:pPr>
          </w:p>
        </w:tc>
        <w:tc>
          <w:tcPr>
            <w:tcW w:type="dxa" w:w="1161"/>
          </w:tcPr>
          <w:p>
            <w:pPr>
              <w:spacing w:after="0"/>
              <w:jc w:val="right"/>
            </w:pPr>
          </w:p>
        </w:tc>
        <w:tc>
          <w:tcPr>
            <w:tcW w:type="dxa" w:w="1178"/>
          </w:tcPr>
          <w:p>
            <w:pPr>
              <w:spacing w:after="0"/>
              <w:jc w:val="right"/>
            </w:pPr>
            <w:r>
              <w:rPr>
                <w:sz w:val="16"/>
              </w:rPr>
              <w:t>0</w:t>
            </w:r>
          </w:p>
        </w:tc>
        <w:tc>
          <w:tcPr>
            <w:tcW w:type="dxa" w:w="2120"/>
          </w:tcPr>
          <w:p>
            <w:pPr>
              <w:spacing w:after="0"/>
              <w:jc w:val="left"/>
            </w:pPr>
            <w:r>
              <w:rPr>
                <w:sz w:val="16"/>
              </w:rPr>
              <w:t>NRI rates avalanche Not Applicable for this county, and no federal declaration for this county names it.</w:t>
            </w:r>
          </w:p>
        </w:tc>
        <w:tc>
          <w:tcPr>
            <w:tcW w:type="dxa" w:w="2038"/>
          </w:tcPr>
          <w:p>
            <w:pPr>
              <w:spacing w:after="0"/>
              <w:jc w:val="left"/>
            </w:pPr>
            <w:r>
              <w:rPr>
                <w:sz w:val="16"/>
              </w:rPr>
              <w:t>No recorded events in Storm Events since 1996 (data through 2026-06-30).</w:t>
            </w:r>
          </w:p>
        </w:tc>
      </w:tr>
      <w:tr>
        <w:trPr>
          <w:cantSplit/>
        </w:trPr>
        <w:tc>
          <w:tcPr>
            <w:tcW w:type="dxa" w:w="682"/>
          </w:tcPr>
          <w:p>
            <w:pPr>
              <w:spacing w:after="0"/>
              <w:jc w:val="right"/>
            </w:pPr>
          </w:p>
        </w:tc>
        <w:tc>
          <w:tcPr>
            <w:tcW w:type="dxa" w:w="1037"/>
          </w:tcPr>
          <w:p>
            <w:pPr>
              <w:spacing w:after="0"/>
              <w:jc w:val="left"/>
            </w:pPr>
            <w:r>
              <w:rPr>
                <w:sz w:val="16"/>
              </w:rPr>
              <w:t>Coastal Flooding</w:t>
            </w:r>
          </w:p>
        </w:tc>
        <w:tc>
          <w:tcPr>
            <w:tcW w:type="dxa" w:w="1178"/>
          </w:tcPr>
          <w:p>
            <w:pPr>
              <w:spacing w:after="0"/>
              <w:jc w:val="left"/>
            </w:pPr>
            <w:r>
              <w:rPr>
                <w:sz w:val="16"/>
              </w:rPr>
              <w:t>Not Applicable</w:t>
            </w:r>
          </w:p>
        </w:tc>
        <w:tc>
          <w:tcPr>
            <w:tcW w:type="dxa" w:w="1178"/>
          </w:tcPr>
          <w:p>
            <w:pPr>
              <w:spacing w:after="0"/>
              <w:jc w:val="left"/>
            </w:pPr>
            <w:r>
              <w:rPr>
                <w:sz w:val="16"/>
              </w:rPr>
              <w:t>Not Applicable</w:t>
            </w:r>
          </w:p>
        </w:tc>
        <w:tc>
          <w:tcPr>
            <w:tcW w:type="dxa" w:w="1126"/>
          </w:tcPr>
          <w:p>
            <w:pPr>
              <w:spacing w:after="0"/>
              <w:jc w:val="right"/>
            </w:pPr>
          </w:p>
        </w:tc>
        <w:tc>
          <w:tcPr>
            <w:tcW w:type="dxa" w:w="1126"/>
          </w:tcPr>
          <w:p>
            <w:pPr>
              <w:spacing w:after="0"/>
              <w:jc w:val="right"/>
            </w:pPr>
          </w:p>
        </w:tc>
        <w:tc>
          <w:tcPr>
            <w:tcW w:type="dxa" w:w="1288"/>
          </w:tcPr>
          <w:p>
            <w:pPr>
              <w:spacing w:after="0"/>
              <w:jc w:val="right"/>
            </w:pPr>
          </w:p>
        </w:tc>
        <w:tc>
          <w:tcPr>
            <w:tcW w:type="dxa" w:w="1161"/>
          </w:tcPr>
          <w:p>
            <w:pPr>
              <w:spacing w:after="0"/>
              <w:jc w:val="right"/>
            </w:pPr>
          </w:p>
        </w:tc>
        <w:tc>
          <w:tcPr>
            <w:tcW w:type="dxa" w:w="1178"/>
          </w:tcPr>
          <w:p>
            <w:pPr>
              <w:spacing w:after="0"/>
              <w:jc w:val="right"/>
            </w:pPr>
            <w:r>
              <w:rPr>
                <w:sz w:val="16"/>
              </w:rPr>
              <w:t>0</w:t>
            </w:r>
          </w:p>
        </w:tc>
        <w:tc>
          <w:tcPr>
            <w:tcW w:type="dxa" w:w="2120"/>
          </w:tcPr>
          <w:p>
            <w:pPr>
              <w:spacing w:after="0"/>
              <w:jc w:val="left"/>
            </w:pPr>
            <w:r>
              <w:rPr>
                <w:sz w:val="16"/>
              </w:rPr>
              <w:t>NRI rates coastal flooding Not Applicable for this county, and no federal declaration for this county names it.</w:t>
            </w:r>
          </w:p>
        </w:tc>
        <w:tc>
          <w:tcPr>
            <w:tcW w:type="dxa" w:w="2038"/>
          </w:tcPr>
          <w:p>
            <w:pPr>
              <w:spacing w:after="0"/>
              <w:jc w:val="left"/>
            </w:pPr>
            <w:r>
              <w:rPr>
                <w:sz w:val="16"/>
              </w:rPr>
              <w:t>No recorded events in Storm Events since 1996 (data through 2026-06-30).</w:t>
            </w:r>
          </w:p>
        </w:tc>
      </w:tr>
      <w:tr>
        <w:trPr>
          <w:cantSplit/>
        </w:trPr>
        <w:tc>
          <w:tcPr>
            <w:tcW w:type="dxa" w:w="682"/>
          </w:tcPr>
          <w:p>
            <w:pPr>
              <w:spacing w:after="0"/>
              <w:jc w:val="right"/>
            </w:pPr>
          </w:p>
        </w:tc>
        <w:tc>
          <w:tcPr>
            <w:tcW w:type="dxa" w:w="1037"/>
          </w:tcPr>
          <w:p>
            <w:pPr>
              <w:spacing w:after="0"/>
              <w:jc w:val="left"/>
            </w:pPr>
            <w:r>
              <w:rPr>
                <w:sz w:val="16"/>
              </w:rPr>
              <w:t>Tsunami</w:t>
            </w:r>
          </w:p>
        </w:tc>
        <w:tc>
          <w:tcPr>
            <w:tcW w:type="dxa" w:w="1178"/>
          </w:tcPr>
          <w:p>
            <w:pPr>
              <w:spacing w:after="0"/>
              <w:jc w:val="left"/>
            </w:pPr>
            <w:r>
              <w:rPr>
                <w:sz w:val="16"/>
              </w:rPr>
              <w:t>Not Applicable</w:t>
            </w:r>
          </w:p>
        </w:tc>
        <w:tc>
          <w:tcPr>
            <w:tcW w:type="dxa" w:w="1178"/>
          </w:tcPr>
          <w:p>
            <w:pPr>
              <w:spacing w:after="0"/>
              <w:jc w:val="left"/>
            </w:pPr>
            <w:r>
              <w:rPr>
                <w:sz w:val="16"/>
              </w:rPr>
              <w:t>Not Applicable</w:t>
            </w:r>
          </w:p>
        </w:tc>
        <w:tc>
          <w:tcPr>
            <w:tcW w:type="dxa" w:w="1126"/>
          </w:tcPr>
          <w:p>
            <w:pPr>
              <w:spacing w:after="0"/>
              <w:jc w:val="right"/>
            </w:pPr>
          </w:p>
        </w:tc>
        <w:tc>
          <w:tcPr>
            <w:tcW w:type="dxa" w:w="1126"/>
          </w:tcPr>
          <w:p>
            <w:pPr>
              <w:spacing w:after="0"/>
              <w:jc w:val="right"/>
            </w:pPr>
          </w:p>
        </w:tc>
        <w:tc>
          <w:tcPr>
            <w:tcW w:type="dxa" w:w="1288"/>
          </w:tcPr>
          <w:p>
            <w:pPr>
              <w:spacing w:after="0"/>
              <w:jc w:val="right"/>
            </w:pPr>
          </w:p>
        </w:tc>
        <w:tc>
          <w:tcPr>
            <w:tcW w:type="dxa" w:w="1161"/>
          </w:tcPr>
          <w:p>
            <w:pPr>
              <w:spacing w:after="0"/>
              <w:jc w:val="right"/>
            </w:pPr>
          </w:p>
        </w:tc>
        <w:tc>
          <w:tcPr>
            <w:tcW w:type="dxa" w:w="1178"/>
          </w:tcPr>
          <w:p>
            <w:pPr>
              <w:spacing w:after="0"/>
              <w:jc w:val="right"/>
            </w:pPr>
            <w:r>
              <w:rPr>
                <w:sz w:val="16"/>
              </w:rPr>
              <w:t>0</w:t>
            </w:r>
          </w:p>
        </w:tc>
        <w:tc>
          <w:tcPr>
            <w:tcW w:type="dxa" w:w="2120"/>
          </w:tcPr>
          <w:p>
            <w:pPr>
              <w:spacing w:after="0"/>
              <w:jc w:val="left"/>
            </w:pPr>
            <w:r>
              <w:rPr>
                <w:sz w:val="16"/>
              </w:rPr>
              <w:t>NRI rates tsunami Not Applicable for this county, and no federal declaration for this county names it.</w:t>
            </w:r>
          </w:p>
        </w:tc>
        <w:tc>
          <w:tcPr>
            <w:tcW w:type="dxa" w:w="2038"/>
          </w:tcPr>
          <w:p>
            <w:pPr>
              <w:spacing w:after="0"/>
              <w:jc w:val="left"/>
            </w:pPr>
            <w:r>
              <w:rPr>
                <w:sz w:val="16"/>
              </w:rPr>
              <w:t>No recorded events in Storm Events since 1996 (data through 2026-06-30). Storm Events coverage of this hazard is limited; absence is not evidence of low risk.</w:t>
            </w:r>
          </w:p>
        </w:tc>
      </w:tr>
      <w:tr>
        <w:trPr>
          <w:cantSplit/>
        </w:trPr>
        <w:tc>
          <w:tcPr>
            <w:tcW w:type="dxa" w:w="682"/>
          </w:tcPr>
          <w:p>
            <w:pPr>
              <w:spacing w:after="0"/>
              <w:jc w:val="right"/>
            </w:pPr>
          </w:p>
        </w:tc>
        <w:tc>
          <w:tcPr>
            <w:tcW w:type="dxa" w:w="1037"/>
          </w:tcPr>
          <w:p>
            <w:pPr>
              <w:spacing w:after="0"/>
              <w:jc w:val="left"/>
            </w:pPr>
            <w:r>
              <w:rPr>
                <w:sz w:val="16"/>
              </w:rPr>
              <w:t>Volcanic Activity</w:t>
            </w:r>
          </w:p>
        </w:tc>
        <w:tc>
          <w:tcPr>
            <w:tcW w:type="dxa" w:w="1178"/>
          </w:tcPr>
          <w:p>
            <w:pPr>
              <w:spacing w:after="0"/>
              <w:jc w:val="left"/>
            </w:pPr>
            <w:r>
              <w:rPr>
                <w:sz w:val="16"/>
              </w:rPr>
              <w:t>Not Applicable</w:t>
            </w:r>
          </w:p>
        </w:tc>
        <w:tc>
          <w:tcPr>
            <w:tcW w:type="dxa" w:w="1178"/>
          </w:tcPr>
          <w:p>
            <w:pPr>
              <w:spacing w:after="0"/>
              <w:jc w:val="left"/>
            </w:pPr>
            <w:r>
              <w:rPr>
                <w:sz w:val="16"/>
              </w:rPr>
              <w:t>Not Applicable</w:t>
            </w:r>
          </w:p>
        </w:tc>
        <w:tc>
          <w:tcPr>
            <w:tcW w:type="dxa" w:w="1126"/>
          </w:tcPr>
          <w:p>
            <w:pPr>
              <w:spacing w:after="0"/>
              <w:jc w:val="right"/>
            </w:pPr>
          </w:p>
        </w:tc>
        <w:tc>
          <w:tcPr>
            <w:tcW w:type="dxa" w:w="1126"/>
          </w:tcPr>
          <w:p>
            <w:pPr>
              <w:spacing w:after="0"/>
              <w:jc w:val="right"/>
            </w:pPr>
          </w:p>
        </w:tc>
        <w:tc>
          <w:tcPr>
            <w:tcW w:type="dxa" w:w="1288"/>
          </w:tcPr>
          <w:p>
            <w:pPr>
              <w:spacing w:after="0"/>
              <w:jc w:val="right"/>
            </w:pPr>
          </w:p>
        </w:tc>
        <w:tc>
          <w:tcPr>
            <w:tcW w:type="dxa" w:w="1161"/>
          </w:tcPr>
          <w:p>
            <w:pPr>
              <w:spacing w:after="0"/>
              <w:jc w:val="right"/>
            </w:pPr>
          </w:p>
        </w:tc>
        <w:tc>
          <w:tcPr>
            <w:tcW w:type="dxa" w:w="1178"/>
          </w:tcPr>
          <w:p>
            <w:pPr>
              <w:spacing w:after="0"/>
              <w:jc w:val="right"/>
            </w:pPr>
            <w:r>
              <w:rPr>
                <w:sz w:val="16"/>
              </w:rPr>
              <w:t>0</w:t>
            </w:r>
          </w:p>
        </w:tc>
        <w:tc>
          <w:tcPr>
            <w:tcW w:type="dxa" w:w="2120"/>
          </w:tcPr>
          <w:p>
            <w:pPr>
              <w:spacing w:after="0"/>
              <w:jc w:val="left"/>
            </w:pPr>
            <w:r>
              <w:rPr>
                <w:sz w:val="16"/>
              </w:rPr>
              <w:t>NRI rates volcanic activity Not Applicable for this county, and no federal declaration for this county names it.</w:t>
            </w:r>
          </w:p>
        </w:tc>
        <w:tc>
          <w:tcPr>
            <w:tcW w:type="dxa" w:w="2038"/>
          </w:tcPr>
          <w:p>
            <w:pPr>
              <w:spacing w:after="0"/>
              <w:jc w:val="left"/>
            </w:pPr>
            <w:r>
              <w:rPr>
                <w:sz w:val="16"/>
              </w:rPr>
              <w:t>No recorded events in Storm Events since 1996 (data through 2026-06-30). Storm Events coverage of this hazard is limited; absence is not evidence of low risk.</w:t>
            </w:r>
          </w:p>
        </w:tc>
      </w:tr>
    </w:tbl>
    <w:p>
      <w:pPr>
        <w:spacing w:after="40" w:before="60"/>
      </w:pPr>
      <w:r>
        <w:rPr>
          <w:sz w:val="15"/>
        </w:rPr>
        <w:t>Total = buildings + agriculture + population equivalence; FEMA values each expected death (or 10 injuries) at $13.7 million (2024 dollars).</w:t>
      </w:r>
    </w:p>
    <w:p>
      <w:pPr>
        <w:spacing w:after="20" w:before="0"/>
      </w:pPr>
      <w:r>
        <w:rPr>
          <w:b/>
          <w:color w:val="555555"/>
          <w:sz w:val="15"/>
        </w:rPr>
        <w:t xml:space="preserve">Source: </w:t>
      </w:r>
      <w:r>
        <w:rPr>
          <w:color w:val="555555"/>
          <w:sz w:val="15"/>
        </w:rPr>
        <w:t xml:space="preserve">FEMA, FEMA National Risk Index 1.20.0 (December 2025), county and census tract tables, version 1.20.0, pulled 2026-09-28, </w:t>
      </w:r>
      <w:hyperlink r:id="rId13">
        <w:r>
          <w:rPr>
            <w:color w:val="1F4E99"/>
            <w:sz w:val="15"/>
            <w:u w:val="single"/>
          </w:rPr>
          <w:t>https://www.fema.gov/about/reports-and-data/openfema/nri/v120/NRI_Table_Counties.zip</w:t>
        </w:r>
      </w:hyperlink>
      <w:r>
        <w:rPr>
          <w:color w:val="555555"/>
          <w:sz w:val="15"/>
        </w:rPr>
        <w:t xml:space="preserve"> (download, 25 MB)</w:t>
      </w:r>
      <w:r>
        <w:rPr>
          <w:color w:val="555555"/>
          <w:sz w:val="15"/>
        </w:rPr>
        <w:t xml:space="preserve">, </w:t>
      </w:r>
      <w:hyperlink r:id="rId14">
        <w:r>
          <w:rPr>
            <w:color w:val="1F4E99"/>
            <w:sz w:val="15"/>
            <w:u w:val="single"/>
          </w:rPr>
          <w:t>https://www.fema.gov/about/reports-and-data/openfema/nri/v120/NRI_Table_CensusTracts.zip</w:t>
        </w:r>
      </w:hyperlink>
      <w:r>
        <w:rPr>
          <w:color w:val="555555"/>
          <w:sz w:val="15"/>
        </w:rPr>
        <w:t xml:space="preserve"> (download, 635 MB)</w:t>
      </w:r>
    </w:p>
    <w:p>
      <w:pPr>
        <w:spacing w:after="20" w:before="0"/>
      </w:pPr>
      <w:r>
        <w:rPr>
          <w:b/>
          <w:color w:val="555555"/>
          <w:sz w:val="15"/>
        </w:rPr>
        <w:t xml:space="preserve">Source: </w:t>
      </w:r>
      <w:r>
        <w:rPr>
          <w:color w:val="555555"/>
          <w:sz w:val="15"/>
        </w:rPr>
        <w:t xml:space="preserve">NOAA NCEI, NOAA NCEI Storm Events Database, details files (csvfiles v1.0), version c20260918, pulled 2026-09-28, </w:t>
      </w:r>
      <w:hyperlink r:id="rId15">
        <w:r>
          <w:rPr>
            <w:color w:val="1F4E99"/>
            <w:sz w:val="15"/>
            <w:u w:val="single"/>
          </w:rPr>
          <w:t>https://www.ncei.noaa.gov/pub/data/swdi/stormevents/csvfiles/</w:t>
        </w:r>
      </w:hyperlink>
    </w:p>
    <w:p>
      <w:pPr>
        <w:spacing w:after="80" w:before="0"/>
      </w:pPr>
    </w:p>
    <w:p>
      <w:pPr>
        <w:spacing w:after="60" w:before="0"/>
      </w:pPr>
      <w:r>
        <w:rPr>
          <w:color w:val="555555"/>
          <w:sz w:val="17"/>
        </w:rPr>
        <w:t>Check your state hazard mitigation plan's hazard list for this county; explain any hazard you drop.</w:t>
      </w:r>
    </w:p>
    <w:p>
      <w:pPr>
        <w:pStyle w:val="Heading2"/>
        <w:keepNext/>
        <w:spacing w:after="80"/>
      </w:pPr>
      <w:r>
        <w:rPr/>
        <w:t>Supports B1-b: location</w:t>
      </w:r>
    </w:p>
    <w:p>
      <w:pPr>
        <w:pStyle w:val="Heading3"/>
        <w:keepNext/>
        <w:spacing w:after="80"/>
      </w:pPr>
      <w:r>
        <w:rPr/>
        <w:t>Where each hazard occurs</w:t>
      </w:r>
    </w:p>
    <w:tbl>
      <w:tblPr>
        <w:tblW w:type="auto" w:w="0"/>
        <w:jc w:val="left"/>
        <w:tblBorders>
          <w:top w:val="single" w:sz="4" w:space="0" w:color="808080"/>
          <w:left w:val="single" w:sz="4" w:space="0" w:color="808080"/>
          <w:bottom w:val="single" w:sz="4" w:space="0" w:color="808080"/>
          <w:right w:val="single" w:sz="4" w:space="0" w:color="808080"/>
          <w:insideH w:val="single" w:sz="4" w:space="0" w:color="808080"/>
          <w:insideV w:val="single" w:sz="4" w:space="0" w:color="808080"/>
        </w:tblBorders>
        <w:tblLayout w:type="fixed"/>
        <w:tblCellMar>
          <w:top w:w="15" w:type="dxa"/>
          <w:left w:w="60" w:type="dxa"/>
          <w:bottom w:w="15" w:type="dxa"/>
          <w:right w:w="60" w:type="dxa"/>
        </w:tblCellMar>
        <w:tblLook w:firstColumn="1" w:firstRow="1" w:lastColumn="0" w:lastRow="0" w:noHBand="0" w:noVBand="1" w:val="04A0"/>
        <w:tblCaption w:val="Where each hazard occurs"/>
        <w:tblDescription w:val="Hazard Plain table b1b"/>
      </w:tblPr>
      <w:tblGrid>
        <w:gridCol w:w="2356"/>
        <w:gridCol w:w="9117"/>
        <w:gridCol w:w="2640"/>
      </w:tblGrid>
      <w:tr>
        <w:trPr>
          <w:cantSplit/>
          <w:tblHeader/>
        </w:trPr>
        <w:tc>
          <w:tcPr>
            <w:tcW w:type="dxa" w:w="2356"/>
            <w:shd w:val="clear" w:color="auto" w:fill="E8E8E8"/>
          </w:tcPr>
          <w:p>
            <w:pPr>
              <w:spacing w:after="0"/>
              <w:jc w:val="left"/>
            </w:pPr>
            <w:r>
              <w:rPr>
                <w:b/>
                <w:sz w:val="16"/>
              </w:rPr>
              <w:t>Hazard</w:t>
            </w:r>
          </w:p>
        </w:tc>
        <w:tc>
          <w:tcPr>
            <w:tcW w:type="dxa" w:w="9117"/>
            <w:shd w:val="clear" w:color="auto" w:fill="E8E8E8"/>
          </w:tcPr>
          <w:p>
            <w:pPr>
              <w:spacing w:after="0"/>
              <w:jc w:val="left"/>
            </w:pPr>
            <w:r>
              <w:rPr>
                <w:b/>
                <w:sz w:val="16"/>
              </w:rPr>
              <w:t>Location</w:t>
            </w:r>
          </w:p>
        </w:tc>
        <w:tc>
          <w:tcPr>
            <w:tcW w:type="dxa" w:w="2640"/>
            <w:shd w:val="clear" w:color="auto" w:fill="E8E8E8"/>
          </w:tcPr>
          <w:p>
            <w:pPr>
              <w:spacing w:after="0"/>
              <w:jc w:val="right"/>
            </w:pPr>
            <w:r>
              <w:rPr>
                <w:b/>
                <w:sz w:val="16"/>
              </w:rPr>
              <w:t>Census tracts rated</w:t>
            </w:r>
          </w:p>
          <w:p>
            <w:pPr>
              <w:spacing w:after="0"/>
              <w:jc w:val="right"/>
            </w:pPr>
            <w:r>
              <w:rPr>
                <w:i/>
                <w:color w:val="555555"/>
                <w:sz w:val="14"/>
              </w:rPr>
              <w:t>rated of all tracts</w:t>
            </w:r>
          </w:p>
        </w:tc>
      </w:tr>
      <w:tr>
        <w:trPr>
          <w:cantSplit/>
        </w:trPr>
        <w:tc>
          <w:tcPr>
            <w:tcW w:type="dxa" w:w="2356"/>
          </w:tcPr>
          <w:p>
            <w:pPr>
              <w:spacing w:after="0"/>
              <w:jc w:val="left"/>
            </w:pPr>
            <w:r>
              <w:rPr>
                <w:sz w:val="16"/>
              </w:rPr>
              <w:t>Avalanche</w:t>
            </w:r>
          </w:p>
        </w:tc>
        <w:tc>
          <w:tcPr>
            <w:tcW w:type="dxa" w:w="9117"/>
          </w:tcPr>
          <w:p>
            <w:pPr>
              <w:spacing w:after="0"/>
              <w:jc w:val="left"/>
            </w:pPr>
            <w:r>
              <w:rPr>
                <w:sz w:val="16"/>
              </w:rPr>
              <w:t>Census tract rating counts from the National Risk Index tract table (see B1-f). Tract maps and place names are not in this packet.</w:t>
            </w:r>
          </w:p>
        </w:tc>
        <w:tc>
          <w:tcPr>
            <w:tcW w:type="dxa" w:w="2640"/>
          </w:tcPr>
          <w:p>
            <w:pPr>
              <w:spacing w:after="0"/>
              <w:jc w:val="right"/>
            </w:pPr>
            <w:r>
              <w:rPr>
                <w:sz w:val="16"/>
              </w:rPr>
              <w:t>0 of 16</w:t>
            </w:r>
          </w:p>
        </w:tc>
      </w:tr>
      <w:tr>
        <w:trPr>
          <w:cantSplit/>
        </w:trPr>
        <w:tc>
          <w:tcPr>
            <w:tcW w:type="dxa" w:w="2356"/>
          </w:tcPr>
          <w:p>
            <w:pPr>
              <w:spacing w:after="0"/>
              <w:jc w:val="left"/>
            </w:pPr>
            <w:r>
              <w:rPr>
                <w:sz w:val="16"/>
              </w:rPr>
              <w:t>Coastal Flooding</w:t>
            </w:r>
          </w:p>
        </w:tc>
        <w:tc>
          <w:tcPr>
            <w:tcW w:type="dxa" w:w="9117"/>
          </w:tcPr>
          <w:p>
            <w:pPr>
              <w:spacing w:after="0"/>
              <w:jc w:val="left"/>
            </w:pPr>
            <w:r>
              <w:rPr>
                <w:sz w:val="16"/>
              </w:rPr>
              <w:t>Census tract rating counts from the National Risk Index tract table (see B1-f). Tract maps and place names are not in this packet.</w:t>
            </w:r>
          </w:p>
        </w:tc>
        <w:tc>
          <w:tcPr>
            <w:tcW w:type="dxa" w:w="2640"/>
          </w:tcPr>
          <w:p>
            <w:pPr>
              <w:spacing w:after="0"/>
              <w:jc w:val="right"/>
            </w:pPr>
            <w:r>
              <w:rPr>
                <w:sz w:val="16"/>
              </w:rPr>
              <w:t>0 of 16</w:t>
            </w:r>
          </w:p>
        </w:tc>
      </w:tr>
      <w:tr>
        <w:trPr>
          <w:cantSplit/>
        </w:trPr>
        <w:tc>
          <w:tcPr>
            <w:tcW w:type="dxa" w:w="2356"/>
          </w:tcPr>
          <w:p>
            <w:pPr>
              <w:spacing w:after="0"/>
              <w:jc w:val="left"/>
            </w:pPr>
            <w:r>
              <w:rPr>
                <w:sz w:val="16"/>
              </w:rPr>
              <w:t>Cold Wave</w:t>
            </w:r>
          </w:p>
        </w:tc>
        <w:tc>
          <w:tcPr>
            <w:tcW w:type="dxa" w:w="9117"/>
          </w:tcPr>
          <w:p>
            <w:pPr>
              <w:spacing w:after="0"/>
              <w:jc w:val="left"/>
            </w:pPr>
            <w:r>
              <w:rPr>
                <w:sz w:val="16"/>
              </w:rPr>
              <w:t>Affects the whole planning area; national data do not distinguish locations within the county. Confirm locally.</w:t>
            </w:r>
          </w:p>
        </w:tc>
        <w:tc>
          <w:tcPr>
            <w:tcW w:type="dxa" w:w="2640"/>
          </w:tcPr>
          <w:p>
            <w:pPr>
              <w:spacing w:after="0"/>
              <w:jc w:val="right"/>
            </w:pPr>
            <w:r>
              <w:rPr>
                <w:sz w:val="16"/>
              </w:rPr>
              <w:t>16 of 16</w:t>
            </w:r>
          </w:p>
        </w:tc>
      </w:tr>
      <w:tr>
        <w:trPr>
          <w:cantSplit/>
        </w:trPr>
        <w:tc>
          <w:tcPr>
            <w:tcW w:type="dxa" w:w="2356"/>
          </w:tcPr>
          <w:p>
            <w:pPr>
              <w:spacing w:after="0"/>
              <w:jc w:val="left"/>
            </w:pPr>
            <w:r>
              <w:rPr>
                <w:sz w:val="16"/>
              </w:rPr>
              <w:t>Drought</w:t>
            </w:r>
          </w:p>
        </w:tc>
        <w:tc>
          <w:tcPr>
            <w:tcW w:type="dxa" w:w="9117"/>
          </w:tcPr>
          <w:p>
            <w:pPr>
              <w:spacing w:after="0"/>
              <w:jc w:val="left"/>
            </w:pPr>
            <w:r>
              <w:rPr>
                <w:sz w:val="16"/>
              </w:rPr>
              <w:t>Affects the whole planning area; national data do not distinguish locations within the county. Confirm locally.</w:t>
            </w:r>
          </w:p>
        </w:tc>
        <w:tc>
          <w:tcPr>
            <w:tcW w:type="dxa" w:w="2640"/>
          </w:tcPr>
          <w:p>
            <w:pPr>
              <w:spacing w:after="0"/>
              <w:jc w:val="right"/>
            </w:pPr>
            <w:r>
              <w:rPr>
                <w:sz w:val="16"/>
              </w:rPr>
              <w:t>15 of 16</w:t>
            </w:r>
          </w:p>
        </w:tc>
      </w:tr>
      <w:tr>
        <w:trPr>
          <w:cantSplit/>
        </w:trPr>
        <w:tc>
          <w:tcPr>
            <w:tcW w:type="dxa" w:w="2356"/>
          </w:tcPr>
          <w:p>
            <w:pPr>
              <w:spacing w:after="0"/>
              <w:jc w:val="left"/>
            </w:pPr>
            <w:r>
              <w:rPr>
                <w:sz w:val="16"/>
              </w:rPr>
              <w:t>Earthquake</w:t>
            </w:r>
          </w:p>
        </w:tc>
        <w:tc>
          <w:tcPr>
            <w:tcW w:type="dxa" w:w="9117"/>
          </w:tcPr>
          <w:p>
            <w:pPr>
              <w:spacing w:after="0"/>
              <w:jc w:val="left"/>
            </w:pPr>
            <w:r>
              <w:rPr>
                <w:sz w:val="16"/>
              </w:rPr>
              <w:t>Census tract rating counts from the National Risk Index tract table (see B1-f). Tract maps and place names are not in this packet.</w:t>
            </w:r>
          </w:p>
        </w:tc>
        <w:tc>
          <w:tcPr>
            <w:tcW w:type="dxa" w:w="2640"/>
          </w:tcPr>
          <w:p>
            <w:pPr>
              <w:spacing w:after="0"/>
              <w:jc w:val="right"/>
            </w:pPr>
            <w:r>
              <w:rPr>
                <w:sz w:val="16"/>
              </w:rPr>
              <w:t>16 of 16</w:t>
            </w:r>
          </w:p>
        </w:tc>
      </w:tr>
      <w:tr>
        <w:trPr>
          <w:cantSplit/>
        </w:trPr>
        <w:tc>
          <w:tcPr>
            <w:tcW w:type="dxa" w:w="2356"/>
          </w:tcPr>
          <w:p>
            <w:pPr>
              <w:spacing w:after="0"/>
              <w:jc w:val="left"/>
            </w:pPr>
            <w:r>
              <w:rPr>
                <w:sz w:val="16"/>
              </w:rPr>
              <w:t>Hail</w:t>
            </w:r>
          </w:p>
        </w:tc>
        <w:tc>
          <w:tcPr>
            <w:tcW w:type="dxa" w:w="9117"/>
          </w:tcPr>
          <w:p>
            <w:pPr>
              <w:spacing w:after="0"/>
              <w:jc w:val="left"/>
            </w:pPr>
            <w:r>
              <w:rPr>
                <w:sz w:val="16"/>
              </w:rPr>
              <w:t>Affects the whole planning area; national data do not distinguish locations within the county. Confirm locally.</w:t>
            </w:r>
          </w:p>
        </w:tc>
        <w:tc>
          <w:tcPr>
            <w:tcW w:type="dxa" w:w="2640"/>
          </w:tcPr>
          <w:p>
            <w:pPr>
              <w:spacing w:after="0"/>
              <w:jc w:val="right"/>
            </w:pPr>
            <w:r>
              <w:rPr>
                <w:sz w:val="16"/>
              </w:rPr>
              <w:t>16 of 16</w:t>
            </w:r>
          </w:p>
        </w:tc>
      </w:tr>
      <w:tr>
        <w:trPr>
          <w:cantSplit/>
        </w:trPr>
        <w:tc>
          <w:tcPr>
            <w:tcW w:type="dxa" w:w="2356"/>
          </w:tcPr>
          <w:p>
            <w:pPr>
              <w:spacing w:after="0"/>
              <w:jc w:val="left"/>
            </w:pPr>
            <w:r>
              <w:rPr>
                <w:sz w:val="16"/>
              </w:rPr>
              <w:t>Heat Wave</w:t>
            </w:r>
          </w:p>
        </w:tc>
        <w:tc>
          <w:tcPr>
            <w:tcW w:type="dxa" w:w="9117"/>
          </w:tcPr>
          <w:p>
            <w:pPr>
              <w:spacing w:after="0"/>
              <w:jc w:val="left"/>
            </w:pPr>
            <w:r>
              <w:rPr>
                <w:sz w:val="16"/>
              </w:rPr>
              <w:t>Affects the whole planning area; national data do not distinguish locations within the county. Confirm locally.</w:t>
            </w:r>
          </w:p>
        </w:tc>
        <w:tc>
          <w:tcPr>
            <w:tcW w:type="dxa" w:w="2640"/>
          </w:tcPr>
          <w:p>
            <w:pPr>
              <w:spacing w:after="0"/>
              <w:jc w:val="right"/>
            </w:pPr>
            <w:r>
              <w:rPr>
                <w:sz w:val="16"/>
              </w:rPr>
              <w:t>16 of 16</w:t>
            </w:r>
          </w:p>
        </w:tc>
      </w:tr>
      <w:tr>
        <w:trPr>
          <w:cantSplit/>
        </w:trPr>
        <w:tc>
          <w:tcPr>
            <w:tcW w:type="dxa" w:w="2356"/>
          </w:tcPr>
          <w:p>
            <w:pPr>
              <w:spacing w:after="0"/>
              <w:jc w:val="left"/>
            </w:pPr>
            <w:r>
              <w:rPr>
                <w:sz w:val="16"/>
              </w:rPr>
              <w:t>Hurricane</w:t>
            </w:r>
          </w:p>
        </w:tc>
        <w:tc>
          <w:tcPr>
            <w:tcW w:type="dxa" w:w="9117"/>
          </w:tcPr>
          <w:p>
            <w:pPr>
              <w:spacing w:after="0"/>
              <w:jc w:val="left"/>
            </w:pPr>
            <w:r>
              <w:rPr>
                <w:sz w:val="16"/>
              </w:rPr>
              <w:t>Census tract rating counts from the National Risk Index tract table (see B1-f). Tract maps and place names are not in this packet.</w:t>
            </w:r>
          </w:p>
        </w:tc>
        <w:tc>
          <w:tcPr>
            <w:tcW w:type="dxa" w:w="2640"/>
          </w:tcPr>
          <w:p>
            <w:pPr>
              <w:spacing w:after="0"/>
              <w:jc w:val="right"/>
            </w:pPr>
            <w:r>
              <w:rPr>
                <w:sz w:val="16"/>
              </w:rPr>
              <w:t>16 of 16</w:t>
            </w:r>
          </w:p>
        </w:tc>
      </w:tr>
      <w:tr>
        <w:trPr>
          <w:cantSplit/>
        </w:trPr>
        <w:tc>
          <w:tcPr>
            <w:tcW w:type="dxa" w:w="2356"/>
          </w:tcPr>
          <w:p>
            <w:pPr>
              <w:spacing w:after="0"/>
              <w:jc w:val="left"/>
            </w:pPr>
            <w:r>
              <w:rPr>
                <w:sz w:val="16"/>
              </w:rPr>
              <w:t>Ice Storm</w:t>
            </w:r>
          </w:p>
        </w:tc>
        <w:tc>
          <w:tcPr>
            <w:tcW w:type="dxa" w:w="9117"/>
          </w:tcPr>
          <w:p>
            <w:pPr>
              <w:spacing w:after="0"/>
              <w:jc w:val="left"/>
            </w:pPr>
            <w:r>
              <w:rPr>
                <w:sz w:val="16"/>
              </w:rPr>
              <w:t>Affects the whole planning area; national data do not distinguish locations within the county. Confirm locally.</w:t>
            </w:r>
          </w:p>
        </w:tc>
        <w:tc>
          <w:tcPr>
            <w:tcW w:type="dxa" w:w="2640"/>
          </w:tcPr>
          <w:p>
            <w:pPr>
              <w:spacing w:after="0"/>
              <w:jc w:val="right"/>
            </w:pPr>
            <w:r>
              <w:rPr>
                <w:sz w:val="16"/>
              </w:rPr>
              <w:t>16 of 16</w:t>
            </w:r>
          </w:p>
        </w:tc>
      </w:tr>
      <w:tr>
        <w:trPr>
          <w:cantSplit/>
        </w:trPr>
        <w:tc>
          <w:tcPr>
            <w:tcW w:type="dxa" w:w="2356"/>
          </w:tcPr>
          <w:p>
            <w:pPr>
              <w:spacing w:after="0"/>
              <w:jc w:val="left"/>
            </w:pPr>
            <w:r>
              <w:rPr>
                <w:sz w:val="16"/>
              </w:rPr>
              <w:t>Inland Flooding</w:t>
            </w:r>
          </w:p>
        </w:tc>
        <w:tc>
          <w:tcPr>
            <w:tcW w:type="dxa" w:w="9117"/>
          </w:tcPr>
          <w:p>
            <w:pPr>
              <w:spacing w:after="0"/>
              <w:jc w:val="left"/>
            </w:pPr>
            <w:r>
              <w:rPr>
                <w:sz w:val="16"/>
              </w:rPr>
              <w:t>The FEMA Flood Insurance Rate Map (FIRM) is the required location source for flooding. See the FEMA Flood Map Service Center (</w:t>
            </w:r>
            <w:hyperlink r:id="rId16">
              <w:r>
                <w:rPr>
                  <w:color w:val="1F4E99"/>
                  <w:sz w:val="16"/>
                  <w:u w:val="single"/>
                </w:rPr>
                <w:t>https://msc.fema.gov</w:t>
              </w:r>
            </w:hyperlink>
            <w:r>
              <w:rPr>
                <w:sz w:val="16"/>
              </w:rPr>
              <w:t>) for this county.</w:t>
            </w:r>
          </w:p>
        </w:tc>
        <w:tc>
          <w:tcPr>
            <w:tcW w:type="dxa" w:w="2640"/>
          </w:tcPr>
          <w:p>
            <w:pPr>
              <w:spacing w:after="0"/>
              <w:jc w:val="right"/>
            </w:pPr>
            <w:r>
              <w:rPr>
                <w:sz w:val="16"/>
              </w:rPr>
              <w:t>16 of 16</w:t>
            </w:r>
          </w:p>
        </w:tc>
      </w:tr>
      <w:tr>
        <w:trPr>
          <w:cantSplit/>
        </w:trPr>
        <w:tc>
          <w:tcPr>
            <w:tcW w:type="dxa" w:w="2356"/>
          </w:tcPr>
          <w:p>
            <w:pPr>
              <w:spacing w:after="0"/>
              <w:jc w:val="left"/>
            </w:pPr>
            <w:r>
              <w:rPr>
                <w:sz w:val="16"/>
              </w:rPr>
              <w:t>Landslide</w:t>
            </w:r>
          </w:p>
        </w:tc>
        <w:tc>
          <w:tcPr>
            <w:tcW w:type="dxa" w:w="9117"/>
          </w:tcPr>
          <w:p>
            <w:pPr>
              <w:spacing w:after="0"/>
              <w:jc w:val="left"/>
            </w:pPr>
            <w:r>
              <w:rPr>
                <w:sz w:val="16"/>
              </w:rPr>
              <w:t>Census tract rating counts from the National Risk Index tract table (see B1-f). Tract maps and place names are not in this packet.</w:t>
            </w:r>
          </w:p>
        </w:tc>
        <w:tc>
          <w:tcPr>
            <w:tcW w:type="dxa" w:w="2640"/>
          </w:tcPr>
          <w:p>
            <w:pPr>
              <w:spacing w:after="0"/>
              <w:jc w:val="right"/>
            </w:pPr>
            <w:r>
              <w:rPr>
                <w:sz w:val="16"/>
              </w:rPr>
              <w:t>16 of 16</w:t>
            </w:r>
          </w:p>
        </w:tc>
      </w:tr>
      <w:tr>
        <w:trPr>
          <w:cantSplit/>
        </w:trPr>
        <w:tc>
          <w:tcPr>
            <w:tcW w:type="dxa" w:w="2356"/>
          </w:tcPr>
          <w:p>
            <w:pPr>
              <w:spacing w:after="0"/>
              <w:jc w:val="left"/>
            </w:pPr>
            <w:r>
              <w:rPr>
                <w:sz w:val="16"/>
              </w:rPr>
              <w:t>Lightning</w:t>
            </w:r>
          </w:p>
        </w:tc>
        <w:tc>
          <w:tcPr>
            <w:tcW w:type="dxa" w:w="9117"/>
          </w:tcPr>
          <w:p>
            <w:pPr>
              <w:spacing w:after="0"/>
              <w:jc w:val="left"/>
            </w:pPr>
            <w:r>
              <w:rPr>
                <w:sz w:val="16"/>
              </w:rPr>
              <w:t>Affects the whole planning area; national data do not distinguish locations within the county. Confirm locally.</w:t>
            </w:r>
          </w:p>
        </w:tc>
        <w:tc>
          <w:tcPr>
            <w:tcW w:type="dxa" w:w="2640"/>
          </w:tcPr>
          <w:p>
            <w:pPr>
              <w:spacing w:after="0"/>
              <w:jc w:val="right"/>
            </w:pPr>
            <w:r>
              <w:rPr>
                <w:sz w:val="16"/>
              </w:rPr>
              <w:t>16 of 16</w:t>
            </w:r>
          </w:p>
        </w:tc>
      </w:tr>
      <w:tr>
        <w:trPr>
          <w:cantSplit/>
        </w:trPr>
        <w:tc>
          <w:tcPr>
            <w:tcW w:type="dxa" w:w="2356"/>
          </w:tcPr>
          <w:p>
            <w:pPr>
              <w:spacing w:after="0"/>
              <w:jc w:val="left"/>
            </w:pPr>
            <w:r>
              <w:rPr>
                <w:sz w:val="16"/>
              </w:rPr>
              <w:t>Strong Wind</w:t>
            </w:r>
          </w:p>
        </w:tc>
        <w:tc>
          <w:tcPr>
            <w:tcW w:type="dxa" w:w="9117"/>
          </w:tcPr>
          <w:p>
            <w:pPr>
              <w:spacing w:after="0"/>
              <w:jc w:val="left"/>
            </w:pPr>
            <w:r>
              <w:rPr>
                <w:sz w:val="16"/>
              </w:rPr>
              <w:t>Affects the whole planning area; national data do not distinguish locations within the county. Confirm locally.</w:t>
            </w:r>
          </w:p>
        </w:tc>
        <w:tc>
          <w:tcPr>
            <w:tcW w:type="dxa" w:w="2640"/>
          </w:tcPr>
          <w:p>
            <w:pPr>
              <w:spacing w:after="0"/>
              <w:jc w:val="right"/>
            </w:pPr>
            <w:r>
              <w:rPr>
                <w:sz w:val="16"/>
              </w:rPr>
              <w:t>16 of 16</w:t>
            </w:r>
          </w:p>
        </w:tc>
      </w:tr>
      <w:tr>
        <w:trPr>
          <w:cantSplit/>
        </w:trPr>
        <w:tc>
          <w:tcPr>
            <w:tcW w:type="dxa" w:w="2356"/>
          </w:tcPr>
          <w:p>
            <w:pPr>
              <w:spacing w:after="0"/>
              <w:jc w:val="left"/>
            </w:pPr>
            <w:r>
              <w:rPr>
                <w:sz w:val="16"/>
              </w:rPr>
              <w:t>Tornado</w:t>
            </w:r>
          </w:p>
        </w:tc>
        <w:tc>
          <w:tcPr>
            <w:tcW w:type="dxa" w:w="9117"/>
          </w:tcPr>
          <w:p>
            <w:pPr>
              <w:spacing w:after="0"/>
              <w:jc w:val="left"/>
            </w:pPr>
            <w:r>
              <w:rPr>
                <w:sz w:val="16"/>
              </w:rPr>
              <w:t>Census tract rating counts from the National Risk Index tract table (see B1-f). Tract maps and place names are not in this packet.</w:t>
            </w:r>
          </w:p>
        </w:tc>
        <w:tc>
          <w:tcPr>
            <w:tcW w:type="dxa" w:w="2640"/>
          </w:tcPr>
          <w:p>
            <w:pPr>
              <w:spacing w:after="0"/>
              <w:jc w:val="right"/>
            </w:pPr>
            <w:r>
              <w:rPr>
                <w:sz w:val="16"/>
              </w:rPr>
              <w:t>16 of 16</w:t>
            </w:r>
          </w:p>
        </w:tc>
      </w:tr>
      <w:tr>
        <w:trPr>
          <w:cantSplit/>
        </w:trPr>
        <w:tc>
          <w:tcPr>
            <w:tcW w:type="dxa" w:w="2356"/>
          </w:tcPr>
          <w:p>
            <w:pPr>
              <w:spacing w:after="0"/>
              <w:jc w:val="left"/>
            </w:pPr>
            <w:r>
              <w:rPr>
                <w:sz w:val="16"/>
              </w:rPr>
              <w:t>Tsunami</w:t>
            </w:r>
          </w:p>
        </w:tc>
        <w:tc>
          <w:tcPr>
            <w:tcW w:type="dxa" w:w="9117"/>
          </w:tcPr>
          <w:p>
            <w:pPr>
              <w:spacing w:after="0"/>
              <w:jc w:val="left"/>
            </w:pPr>
            <w:r>
              <w:rPr>
                <w:sz w:val="16"/>
              </w:rPr>
              <w:t>Census tract rating counts from the National Risk Index tract table (see B1-f). Tract maps and place names are not in this packet.</w:t>
            </w:r>
          </w:p>
        </w:tc>
        <w:tc>
          <w:tcPr>
            <w:tcW w:type="dxa" w:w="2640"/>
          </w:tcPr>
          <w:p>
            <w:pPr>
              <w:spacing w:after="0"/>
              <w:jc w:val="right"/>
            </w:pPr>
            <w:r>
              <w:rPr>
                <w:sz w:val="16"/>
              </w:rPr>
              <w:t>0 of 16</w:t>
            </w:r>
          </w:p>
        </w:tc>
      </w:tr>
      <w:tr>
        <w:trPr>
          <w:cantSplit/>
        </w:trPr>
        <w:tc>
          <w:tcPr>
            <w:tcW w:type="dxa" w:w="2356"/>
          </w:tcPr>
          <w:p>
            <w:pPr>
              <w:spacing w:after="0"/>
              <w:jc w:val="left"/>
            </w:pPr>
            <w:r>
              <w:rPr>
                <w:sz w:val="16"/>
              </w:rPr>
              <w:t>Volcanic Activity</w:t>
            </w:r>
          </w:p>
        </w:tc>
        <w:tc>
          <w:tcPr>
            <w:tcW w:type="dxa" w:w="9117"/>
          </w:tcPr>
          <w:p>
            <w:pPr>
              <w:spacing w:after="0"/>
              <w:jc w:val="left"/>
            </w:pPr>
            <w:r>
              <w:rPr>
                <w:sz w:val="16"/>
              </w:rPr>
              <w:t>Census tract rating counts from the National Risk Index tract table (see B1-f). Tract maps and place names are not in this packet.</w:t>
            </w:r>
          </w:p>
        </w:tc>
        <w:tc>
          <w:tcPr>
            <w:tcW w:type="dxa" w:w="2640"/>
          </w:tcPr>
          <w:p>
            <w:pPr>
              <w:spacing w:after="0"/>
              <w:jc w:val="right"/>
            </w:pPr>
            <w:r>
              <w:rPr>
                <w:sz w:val="16"/>
              </w:rPr>
              <w:t>0 of 16</w:t>
            </w:r>
          </w:p>
        </w:tc>
      </w:tr>
      <w:tr>
        <w:trPr>
          <w:cantSplit/>
        </w:trPr>
        <w:tc>
          <w:tcPr>
            <w:tcW w:type="dxa" w:w="2356"/>
          </w:tcPr>
          <w:p>
            <w:pPr>
              <w:spacing w:after="0"/>
              <w:jc w:val="left"/>
            </w:pPr>
            <w:r>
              <w:rPr>
                <w:sz w:val="16"/>
              </w:rPr>
              <w:t>Wildfire</w:t>
            </w:r>
          </w:p>
        </w:tc>
        <w:tc>
          <w:tcPr>
            <w:tcW w:type="dxa" w:w="9117"/>
          </w:tcPr>
          <w:p>
            <w:pPr>
              <w:spacing w:after="0"/>
              <w:jc w:val="left"/>
            </w:pPr>
            <w:r>
              <w:rPr>
                <w:sz w:val="16"/>
              </w:rPr>
              <w:t>Census tract rating counts from the National Risk Index tract table (see B1-f). Tract maps and place names are not in this packet.</w:t>
            </w:r>
          </w:p>
        </w:tc>
        <w:tc>
          <w:tcPr>
            <w:tcW w:type="dxa" w:w="2640"/>
          </w:tcPr>
          <w:p>
            <w:pPr>
              <w:spacing w:after="0"/>
              <w:jc w:val="right"/>
            </w:pPr>
            <w:r>
              <w:rPr>
                <w:sz w:val="16"/>
              </w:rPr>
              <w:t>15 of 16</w:t>
            </w:r>
          </w:p>
        </w:tc>
      </w:tr>
      <w:tr>
        <w:trPr>
          <w:cantSplit/>
        </w:trPr>
        <w:tc>
          <w:tcPr>
            <w:tcW w:type="dxa" w:w="2356"/>
          </w:tcPr>
          <w:p>
            <w:pPr>
              <w:spacing w:after="0"/>
              <w:jc w:val="left"/>
            </w:pPr>
            <w:r>
              <w:rPr>
                <w:sz w:val="16"/>
              </w:rPr>
              <w:t>Winter Weather</w:t>
            </w:r>
          </w:p>
        </w:tc>
        <w:tc>
          <w:tcPr>
            <w:tcW w:type="dxa" w:w="9117"/>
          </w:tcPr>
          <w:p>
            <w:pPr>
              <w:spacing w:after="0"/>
              <w:jc w:val="left"/>
            </w:pPr>
            <w:r>
              <w:rPr>
                <w:sz w:val="16"/>
              </w:rPr>
              <w:t>Affects the whole planning area; national data do not distinguish locations within the county. Confirm locally.</w:t>
            </w:r>
          </w:p>
        </w:tc>
        <w:tc>
          <w:tcPr>
            <w:tcW w:type="dxa" w:w="2640"/>
          </w:tcPr>
          <w:p>
            <w:pPr>
              <w:spacing w:after="0"/>
              <w:jc w:val="right"/>
            </w:pPr>
            <w:r>
              <w:rPr>
                <w:sz w:val="16"/>
              </w:rPr>
              <w:t>16 of 16</w:t>
            </w:r>
          </w:p>
        </w:tc>
      </w:tr>
    </w:tbl>
    <w:p>
      <w:pPr>
        <w:spacing w:after="20" w:before="0"/>
      </w:pPr>
      <w:r>
        <w:rPr>
          <w:b/>
          <w:color w:val="555555"/>
          <w:sz w:val="15"/>
        </w:rPr>
        <w:t xml:space="preserve">Source: </w:t>
      </w:r>
      <w:r>
        <w:rPr>
          <w:color w:val="555555"/>
          <w:sz w:val="15"/>
        </w:rPr>
        <w:t xml:space="preserve">FEMA, FEMA National Risk Index 1.20.0 (December 2025), county and census tract tables, version 1.20.0, pulled 2026-09-28, </w:t>
      </w:r>
      <w:hyperlink r:id="rId13">
        <w:r>
          <w:rPr>
            <w:color w:val="1F4E99"/>
            <w:sz w:val="15"/>
            <w:u w:val="single"/>
          </w:rPr>
          <w:t>https://www.fema.gov/about/reports-and-data/openfema/nri/v120/NRI_Table_Counties.zip</w:t>
        </w:r>
      </w:hyperlink>
      <w:r>
        <w:rPr>
          <w:color w:val="555555"/>
          <w:sz w:val="15"/>
        </w:rPr>
        <w:t xml:space="preserve"> (download, 25 MB)</w:t>
      </w:r>
      <w:r>
        <w:rPr>
          <w:color w:val="555555"/>
          <w:sz w:val="15"/>
        </w:rPr>
        <w:t xml:space="preserve">, </w:t>
      </w:r>
      <w:hyperlink r:id="rId14">
        <w:r>
          <w:rPr>
            <w:color w:val="1F4E99"/>
            <w:sz w:val="15"/>
            <w:u w:val="single"/>
          </w:rPr>
          <w:t>https://www.fema.gov/about/reports-and-data/openfema/nri/v120/NRI_Table_CensusTracts.zip</w:t>
        </w:r>
      </w:hyperlink>
      <w:r>
        <w:rPr>
          <w:color w:val="555555"/>
          <w:sz w:val="15"/>
        </w:rPr>
        <w:t xml:space="preserve"> (download, 635 MB)</w:t>
      </w:r>
    </w:p>
    <w:p>
      <w:pPr>
        <w:spacing w:after="80" w:before="0"/>
      </w:pPr>
    </w:p>
    <w:p>
      <w:pPr>
        <w:pStyle w:val="Heading2"/>
        <w:keepNext/>
        <w:spacing w:after="80"/>
      </w:pPr>
      <w:r>
        <w:rPr/>
        <w:t>Supports B1-c: extent</w:t>
      </w:r>
    </w:p>
    <w:p>
      <w:pPr>
        <w:pStyle w:val="Heading3"/>
        <w:keepNext/>
        <w:spacing w:after="80"/>
      </w:pPr>
      <w:r>
        <w:rPr/>
        <w:t>Extent: scale, observed range and worst recorded event per hazard</w:t>
      </w:r>
    </w:p>
    <w:tbl>
      <w:tblPr>
        <w:tblW w:type="auto" w:w="0"/>
        <w:jc w:val="left"/>
        <w:tblBorders>
          <w:top w:val="single" w:sz="4" w:space="0" w:color="808080"/>
          <w:left w:val="single" w:sz="4" w:space="0" w:color="808080"/>
          <w:bottom w:val="single" w:sz="4" w:space="0" w:color="808080"/>
          <w:right w:val="single" w:sz="4" w:space="0" w:color="808080"/>
          <w:insideH w:val="single" w:sz="4" w:space="0" w:color="808080"/>
          <w:insideV w:val="single" w:sz="4" w:space="0" w:color="808080"/>
        </w:tblBorders>
        <w:tblLayout w:type="fixed"/>
        <w:tblCellMar>
          <w:top w:w="15" w:type="dxa"/>
          <w:left w:w="60" w:type="dxa"/>
          <w:bottom w:w="15" w:type="dxa"/>
          <w:right w:w="60" w:type="dxa"/>
        </w:tblCellMar>
        <w:tblLook w:firstColumn="1" w:firstRow="1" w:lastColumn="0" w:lastRow="0" w:noHBand="0" w:noVBand="1" w:val="04A0"/>
        <w:tblCaption w:val="Extent: scale, observed range and worst recorded event per hazard"/>
        <w:tblDescription w:val="Hazard Plain table b1c"/>
      </w:tblPr>
      <w:tblGrid>
        <w:gridCol w:w="1705"/>
        <w:gridCol w:w="1713"/>
        <w:gridCol w:w="1573"/>
        <w:gridCol w:w="1923"/>
        <w:gridCol w:w="1865"/>
        <w:gridCol w:w="1548"/>
        <w:gridCol w:w="1595"/>
        <w:gridCol w:w="2190"/>
      </w:tblGrid>
      <w:tr>
        <w:trPr>
          <w:cantSplit/>
          <w:tblHeader/>
        </w:trPr>
        <w:tc>
          <w:tcPr>
            <w:tcW w:type="dxa" w:w="1705"/>
            <w:shd w:val="clear" w:color="auto" w:fill="E8E8E8"/>
          </w:tcPr>
          <w:p>
            <w:pPr>
              <w:spacing w:after="0"/>
              <w:jc w:val="left"/>
            </w:pPr>
            <w:r>
              <w:rPr>
                <w:b/>
                <w:sz w:val="16"/>
              </w:rPr>
              <w:t>Hazard</w:t>
            </w:r>
          </w:p>
        </w:tc>
        <w:tc>
          <w:tcPr>
            <w:tcW w:type="dxa" w:w="1713"/>
            <w:shd w:val="clear" w:color="auto" w:fill="E8E8E8"/>
          </w:tcPr>
          <w:p>
            <w:pPr>
              <w:spacing w:after="0"/>
              <w:jc w:val="left"/>
            </w:pPr>
            <w:r>
              <w:rPr>
                <w:b/>
                <w:sz w:val="16"/>
              </w:rPr>
              <w:t>Scale</w:t>
            </w:r>
          </w:p>
        </w:tc>
        <w:tc>
          <w:tcPr>
            <w:tcW w:type="dxa" w:w="1573"/>
            <w:shd w:val="clear" w:color="auto" w:fill="E8E8E8"/>
          </w:tcPr>
          <w:p>
            <w:pPr>
              <w:spacing w:after="0"/>
              <w:jc w:val="right"/>
            </w:pPr>
            <w:r>
              <w:rPr>
                <w:b/>
                <w:sz w:val="16"/>
              </w:rPr>
              <w:t>Records</w:t>
            </w:r>
          </w:p>
          <w:p>
            <w:pPr>
              <w:spacing w:after="0"/>
              <w:jc w:val="right"/>
            </w:pPr>
            <w:r>
              <w:rPr>
                <w:i/>
                <w:color w:val="555555"/>
                <w:sz w:val="14"/>
              </w:rPr>
              <w:t>count, years</w:t>
            </w:r>
          </w:p>
        </w:tc>
        <w:tc>
          <w:tcPr>
            <w:tcW w:type="dxa" w:w="1923"/>
            <w:shd w:val="clear" w:color="auto" w:fill="E8E8E8"/>
          </w:tcPr>
          <w:p>
            <w:pPr>
              <w:spacing w:after="0"/>
              <w:jc w:val="left"/>
            </w:pPr>
            <w:r>
              <w:rPr>
                <w:b/>
                <w:sz w:val="16"/>
              </w:rPr>
              <w:t>Observed range</w:t>
            </w:r>
          </w:p>
        </w:tc>
        <w:tc>
          <w:tcPr>
            <w:tcW w:type="dxa" w:w="1865"/>
            <w:shd w:val="clear" w:color="auto" w:fill="E8E8E8"/>
          </w:tcPr>
          <w:p>
            <w:pPr>
              <w:spacing w:after="0"/>
              <w:jc w:val="left"/>
            </w:pPr>
            <w:r>
              <w:rPr>
                <w:b/>
                <w:sz w:val="16"/>
              </w:rPr>
              <w:t>Worst recorded event</w:t>
            </w:r>
          </w:p>
        </w:tc>
        <w:tc>
          <w:tcPr>
            <w:tcW w:type="dxa" w:w="1548"/>
            <w:shd w:val="clear" w:color="auto" w:fill="E8E8E8"/>
          </w:tcPr>
          <w:p>
            <w:pPr>
              <w:spacing w:after="0"/>
              <w:jc w:val="left"/>
            </w:pPr>
            <w:r>
              <w:rPr>
                <w:b/>
                <w:sz w:val="16"/>
              </w:rPr>
              <w:t>Most damaging (when different)</w:t>
            </w:r>
          </w:p>
        </w:tc>
        <w:tc>
          <w:tcPr>
            <w:tcW w:type="dxa" w:w="1595"/>
            <w:shd w:val="clear" w:color="auto" w:fill="E8E8E8"/>
          </w:tcPr>
          <w:p>
            <w:pPr>
              <w:spacing w:after="0"/>
              <w:jc w:val="left"/>
            </w:pPr>
            <w:r>
              <w:rPr>
                <w:b/>
                <w:sz w:val="16"/>
              </w:rPr>
              <w:t>How it applies to members</w:t>
            </w:r>
          </w:p>
        </w:tc>
        <w:tc>
          <w:tcPr>
            <w:tcW w:type="dxa" w:w="2190"/>
            <w:shd w:val="clear" w:color="auto" w:fill="E8E8E8"/>
          </w:tcPr>
          <w:p>
            <w:pPr>
              <w:spacing w:after="0"/>
              <w:jc w:val="left"/>
            </w:pPr>
            <w:r>
              <w:rPr>
                <w:b/>
                <w:sz w:val="16"/>
              </w:rPr>
              <w:t>Note</w:t>
            </w:r>
          </w:p>
        </w:tc>
      </w:tr>
      <w:tr>
        <w:trPr>
          <w:cantSplit/>
        </w:trPr>
        <w:tc>
          <w:tcPr>
            <w:tcW w:type="dxa" w:w="1705"/>
          </w:tcPr>
          <w:p>
            <w:pPr>
              <w:spacing w:after="0"/>
              <w:jc w:val="left"/>
            </w:pPr>
            <w:r>
              <w:rPr>
                <w:sz w:val="16"/>
              </w:rPr>
              <w:t>Avalanche</w:t>
            </w:r>
          </w:p>
        </w:tc>
        <w:tc>
          <w:tcPr>
            <w:tcW w:type="dxa" w:w="1713"/>
          </w:tcPr>
          <w:p>
            <w:pPr>
              <w:spacing w:after="0"/>
              <w:jc w:val="left"/>
            </w:pPr>
            <w:r>
              <w:rPr>
                <w:sz w:val="16"/>
              </w:rPr>
              <w:t>none (count and damage)</w:t>
            </w:r>
          </w:p>
        </w:tc>
        <w:tc>
          <w:tcPr>
            <w:tcW w:type="dxa" w:w="1573"/>
          </w:tcPr>
          <w:p>
            <w:pPr>
              <w:spacing w:after="0"/>
              <w:jc w:val="right"/>
            </w:pPr>
            <w:r>
              <w:rPr>
                <w:sz w:val="16"/>
              </w:rPr>
              <w:t>0</w:t>
            </w:r>
          </w:p>
        </w:tc>
        <w:tc>
          <w:tcPr>
            <w:tcW w:type="dxa" w:w="1923"/>
          </w:tcPr>
          <w:p>
            <w:pPr>
              <w:spacing w:after="0"/>
              <w:jc w:val="left"/>
            </w:pPr>
          </w:p>
        </w:tc>
        <w:tc>
          <w:tcPr>
            <w:tcW w:type="dxa" w:w="1865"/>
          </w:tcPr>
          <w:p>
            <w:pPr>
              <w:spacing w:after="0"/>
              <w:jc w:val="left"/>
            </w:pPr>
          </w:p>
        </w:tc>
        <w:tc>
          <w:tcPr>
            <w:tcW w:type="dxa" w:w="1548"/>
          </w:tcPr>
          <w:p>
            <w:pPr>
              <w:spacing w:after="0"/>
              <w:jc w:val="left"/>
            </w:pPr>
          </w:p>
        </w:tc>
        <w:tc>
          <w:tcPr>
            <w:tcW w:type="dxa" w:w="1595"/>
          </w:tcPr>
          <w:p>
            <w:pPr>
              <w:spacing w:after="0"/>
              <w:jc w:val="left"/>
            </w:pPr>
          </w:p>
        </w:tc>
        <w:tc>
          <w:tcPr>
            <w:tcW w:type="dxa" w:w="2190"/>
          </w:tcPr>
          <w:p>
            <w:pPr>
              <w:spacing w:after="0"/>
              <w:jc w:val="left"/>
            </w:pPr>
            <w:r>
              <w:rPr>
                <w:sz w:val="16"/>
              </w:rPr>
              <w:t>Physical measure: in event narratives only; local data required.</w:t>
            </w:r>
          </w:p>
        </w:tc>
      </w:tr>
      <w:tr>
        <w:trPr>
          <w:cantSplit/>
        </w:trPr>
        <w:tc>
          <w:tcPr>
            <w:tcW w:type="dxa" w:w="1705"/>
          </w:tcPr>
          <w:p>
            <w:pPr>
              <w:spacing w:after="0"/>
              <w:jc w:val="left"/>
            </w:pPr>
            <w:r>
              <w:rPr>
                <w:sz w:val="16"/>
              </w:rPr>
              <w:t>Coastal Flood, Storm Surge/Tide</w:t>
            </w:r>
          </w:p>
        </w:tc>
        <w:tc>
          <w:tcPr>
            <w:tcW w:type="dxa" w:w="1713"/>
          </w:tcPr>
          <w:p>
            <w:pPr>
              <w:spacing w:after="0"/>
              <w:jc w:val="left"/>
            </w:pPr>
            <w:r>
              <w:rPr>
                <w:sz w:val="16"/>
              </w:rPr>
              <w:t>none in data (FIRM for depth)</w:t>
            </w:r>
          </w:p>
        </w:tc>
        <w:tc>
          <w:tcPr>
            <w:tcW w:type="dxa" w:w="1573"/>
          </w:tcPr>
          <w:p>
            <w:pPr>
              <w:spacing w:after="0"/>
              <w:jc w:val="right"/>
            </w:pPr>
            <w:r>
              <w:rPr>
                <w:sz w:val="16"/>
              </w:rPr>
              <w:t>0</w:t>
            </w:r>
          </w:p>
        </w:tc>
        <w:tc>
          <w:tcPr>
            <w:tcW w:type="dxa" w:w="1923"/>
          </w:tcPr>
          <w:p>
            <w:pPr>
              <w:spacing w:after="0"/>
              <w:jc w:val="left"/>
            </w:pPr>
          </w:p>
        </w:tc>
        <w:tc>
          <w:tcPr>
            <w:tcW w:type="dxa" w:w="1865"/>
          </w:tcPr>
          <w:p>
            <w:pPr>
              <w:spacing w:after="0"/>
              <w:jc w:val="left"/>
            </w:pPr>
          </w:p>
        </w:tc>
        <w:tc>
          <w:tcPr>
            <w:tcW w:type="dxa" w:w="1548"/>
          </w:tcPr>
          <w:p>
            <w:pPr>
              <w:spacing w:after="0"/>
              <w:jc w:val="left"/>
            </w:pPr>
          </w:p>
        </w:tc>
        <w:tc>
          <w:tcPr>
            <w:tcW w:type="dxa" w:w="1595"/>
          </w:tcPr>
          <w:p>
            <w:pPr>
              <w:spacing w:after="0"/>
              <w:jc w:val="left"/>
            </w:pPr>
          </w:p>
        </w:tc>
        <w:tc>
          <w:tcPr>
            <w:tcW w:type="dxa" w:w="2190"/>
          </w:tcPr>
          <w:p>
            <w:pPr>
              <w:spacing w:after="0"/>
              <w:jc w:val="left"/>
            </w:pPr>
            <w:r>
              <w:rPr>
                <w:sz w:val="16"/>
              </w:rPr>
              <w:t>Flood depth: see the FEMA Flood Insurance Rate Map.</w:t>
            </w:r>
          </w:p>
        </w:tc>
      </w:tr>
      <w:tr>
        <w:trPr>
          <w:cantSplit/>
        </w:trPr>
        <w:tc>
          <w:tcPr>
            <w:tcW w:type="dxa" w:w="1705"/>
          </w:tcPr>
          <w:p>
            <w:pPr>
              <w:spacing w:after="0"/>
              <w:jc w:val="left"/>
            </w:pPr>
            <w:r>
              <w:rPr>
                <w:sz w:val="16"/>
              </w:rPr>
              <w:t>Cold/Wind Chill, Extreme Cold/Wind Chill</w:t>
            </w:r>
          </w:p>
        </w:tc>
        <w:tc>
          <w:tcPr>
            <w:tcW w:type="dxa" w:w="1713"/>
          </w:tcPr>
          <w:p>
            <w:pPr>
              <w:spacing w:after="0"/>
              <w:jc w:val="left"/>
            </w:pPr>
            <w:r>
              <w:rPr>
                <w:sz w:val="16"/>
              </w:rPr>
              <w:t>wind chill</w:t>
            </w:r>
          </w:p>
        </w:tc>
        <w:tc>
          <w:tcPr>
            <w:tcW w:type="dxa" w:w="1573"/>
          </w:tcPr>
          <w:p>
            <w:pPr>
              <w:spacing w:after="0"/>
              <w:jc w:val="right"/>
            </w:pPr>
            <w:r>
              <w:rPr>
                <w:sz w:val="16"/>
              </w:rPr>
              <w:t>22, 1996 to 2026 (22 zone-level)</w:t>
            </w:r>
          </w:p>
        </w:tc>
        <w:tc>
          <w:tcPr>
            <w:tcW w:type="dxa" w:w="1923"/>
          </w:tcPr>
          <w:p>
            <w:pPr>
              <w:spacing w:after="0"/>
              <w:jc w:val="left"/>
            </w:pPr>
            <w:r>
              <w:rPr>
                <w:sz w:val="16"/>
              </w:rPr>
              <w:t>1 day to 24 days (median 2 days); 19 with a recorded value</w:t>
            </w:r>
          </w:p>
        </w:tc>
        <w:tc>
          <w:tcPr>
            <w:tcW w:type="dxa" w:w="1865"/>
          </w:tcPr>
          <w:p>
            <w:pPr>
              <w:spacing w:after="0"/>
              <w:jc w:val="left"/>
            </w:pPr>
            <w:r>
              <w:rPr>
                <w:sz w:val="16"/>
              </w:rPr>
              <w:t>24 days, 2000-12-12 to 2001-01-04, from 2 records, 1 of them a monthly summary (a monthly summary record covers most or all of a month; it does not count days at wave conditions), zone-level</w:t>
            </w:r>
          </w:p>
        </w:tc>
        <w:tc>
          <w:tcPr>
            <w:tcW w:type="dxa" w:w="1548"/>
          </w:tcPr>
          <w:p>
            <w:pPr>
              <w:spacing w:after="0"/>
              <w:jc w:val="left"/>
            </w:pPr>
          </w:p>
        </w:tc>
        <w:tc>
          <w:tcPr>
            <w:tcW w:type="dxa" w:w="1595"/>
          </w:tcPr>
          <w:p>
            <w:pPr>
              <w:spacing w:after="0"/>
              <w:jc w:val="left"/>
            </w:pPr>
            <w:r>
              <w:rPr>
                <w:sz w:val="16"/>
              </w:rPr>
              <w:t>Zone-level records: applies countywide; national data do not locate these events within the county.</w:t>
            </w:r>
          </w:p>
        </w:tc>
        <w:tc>
          <w:tcPr>
            <w:tcW w:type="dxa" w:w="2190"/>
          </w:tcPr>
          <w:p>
            <w:pPr>
              <w:spacing w:after="0"/>
              <w:jc w:val="left"/>
            </w:pPr>
            <w:r>
              <w:rPr>
                <w:sz w:val="16"/>
              </w:rPr>
              <w:t>Wind chill: in event narratives only; local data required.</w:t>
            </w:r>
          </w:p>
        </w:tc>
      </w:tr>
      <w:tr>
        <w:trPr>
          <w:cantSplit/>
        </w:trPr>
        <w:tc>
          <w:tcPr>
            <w:tcW w:type="dxa" w:w="1705"/>
          </w:tcPr>
          <w:p>
            <w:pPr>
              <w:spacing w:after="0"/>
              <w:jc w:val="left"/>
            </w:pPr>
            <w:r>
              <w:rPr>
                <w:sz w:val="16"/>
              </w:rPr>
              <w:t>Frost/Freeze (outside NRI Cold Wave definition)</w:t>
            </w:r>
          </w:p>
        </w:tc>
        <w:tc>
          <w:tcPr>
            <w:tcW w:type="dxa" w:w="1713"/>
          </w:tcPr>
          <w:p>
            <w:pPr>
              <w:spacing w:after="0"/>
              <w:jc w:val="left"/>
            </w:pPr>
            <w:r>
              <w:rPr>
                <w:sz w:val="16"/>
              </w:rPr>
              <w:t>crop damage</w:t>
            </w:r>
          </w:p>
        </w:tc>
        <w:tc>
          <w:tcPr>
            <w:tcW w:type="dxa" w:w="1573"/>
          </w:tcPr>
          <w:p>
            <w:pPr>
              <w:spacing w:after="0"/>
              <w:jc w:val="right"/>
            </w:pPr>
            <w:r>
              <w:rPr>
                <w:sz w:val="16"/>
              </w:rPr>
              <w:t>50, 1997 to 2024 (50 zone-level)</w:t>
            </w:r>
          </w:p>
        </w:tc>
        <w:tc>
          <w:tcPr>
            <w:tcW w:type="dxa" w:w="1923"/>
          </w:tcPr>
          <w:p>
            <w:pPr>
              <w:spacing w:after="0"/>
              <w:jc w:val="left"/>
            </w:pPr>
          </w:p>
        </w:tc>
        <w:tc>
          <w:tcPr>
            <w:tcW w:type="dxa" w:w="1865"/>
          </w:tcPr>
          <w:p>
            <w:pPr>
              <w:spacing w:after="0"/>
              <w:jc w:val="left"/>
            </w:pPr>
            <w:r>
              <w:rPr>
                <w:sz w:val="16"/>
              </w:rPr>
              <w:t>Frost/Freeze, 2008-04-15, $10,000 crop damage, reported for the zone (2008 dollars); NWS zone INZ087 (WARRICK), zone-level: may include parts of neighboring counties</w:t>
            </w:r>
          </w:p>
        </w:tc>
        <w:tc>
          <w:tcPr>
            <w:tcW w:type="dxa" w:w="1548"/>
          </w:tcPr>
          <w:p>
            <w:pPr>
              <w:spacing w:after="0"/>
              <w:jc w:val="left"/>
            </w:pPr>
          </w:p>
        </w:tc>
        <w:tc>
          <w:tcPr>
            <w:tcW w:type="dxa" w:w="1595"/>
          </w:tcPr>
          <w:p>
            <w:pPr>
              <w:spacing w:after="0"/>
              <w:jc w:val="left"/>
            </w:pPr>
            <w:r>
              <w:rPr>
                <w:sz w:val="16"/>
              </w:rPr>
              <w:t>Zone-level records: applies countywide; national data do not locate these events within the county.</w:t>
            </w:r>
          </w:p>
        </w:tc>
        <w:tc>
          <w:tcPr>
            <w:tcW w:type="dxa" w:w="2190"/>
          </w:tcPr>
          <w:p>
            <w:pPr>
              <w:spacing w:after="0"/>
              <w:jc w:val="left"/>
            </w:pPr>
            <w:r>
              <w:rPr>
                <w:sz w:val="16"/>
              </w:rPr>
              <w:t>Temperature: in event narratives only; local data required.</w:t>
            </w:r>
          </w:p>
        </w:tc>
      </w:tr>
      <w:tr>
        <w:trPr>
          <w:cantSplit/>
        </w:trPr>
        <w:tc>
          <w:tcPr>
            <w:tcW w:type="dxa" w:w="1705"/>
          </w:tcPr>
          <w:p>
            <w:pPr>
              <w:spacing w:after="0"/>
              <w:jc w:val="left"/>
            </w:pPr>
            <w:r>
              <w:rPr>
                <w:sz w:val="16"/>
              </w:rPr>
              <w:t>Drought</w:t>
            </w:r>
          </w:p>
        </w:tc>
        <w:tc>
          <w:tcPr>
            <w:tcW w:type="dxa" w:w="1713"/>
          </w:tcPr>
          <w:p>
            <w:pPr>
              <w:spacing w:after="0"/>
              <w:jc w:val="left"/>
            </w:pPr>
            <w:r>
              <w:rPr>
                <w:sz w:val="16"/>
              </w:rPr>
              <w:t>US Drought Monitor D-scale</w:t>
            </w:r>
          </w:p>
        </w:tc>
        <w:tc>
          <w:tcPr>
            <w:tcW w:type="dxa" w:w="1573"/>
          </w:tcPr>
          <w:p>
            <w:pPr>
              <w:spacing w:after="0"/>
              <w:jc w:val="right"/>
            </w:pPr>
            <w:r>
              <w:rPr>
                <w:sz w:val="16"/>
              </w:rPr>
              <w:t>22, 1999 to 2024 (22 zone-level)</w:t>
            </w:r>
          </w:p>
        </w:tc>
        <w:tc>
          <w:tcPr>
            <w:tcW w:type="dxa" w:w="1923"/>
          </w:tcPr>
          <w:p>
            <w:pPr>
              <w:spacing w:after="0"/>
              <w:jc w:val="left"/>
            </w:pPr>
            <w:r>
              <w:rPr>
                <w:sz w:val="16"/>
              </w:rPr>
              <w:t>9 days to 154 days (median 41 days); 9 with a recorded value</w:t>
            </w:r>
          </w:p>
        </w:tc>
        <w:tc>
          <w:tcPr>
            <w:tcW w:type="dxa" w:w="1865"/>
          </w:tcPr>
          <w:p>
            <w:pPr>
              <w:spacing w:after="0"/>
              <w:jc w:val="left"/>
            </w:pPr>
            <w:r>
              <w:rPr>
                <w:sz w:val="16"/>
              </w:rPr>
              <w:t>154 days (about 5.1 months), 2012-05-25 to 2012-10-25, a run of 6 consecutive Storm Events drought records, zone-level</w:t>
            </w:r>
          </w:p>
        </w:tc>
        <w:tc>
          <w:tcPr>
            <w:tcW w:type="dxa" w:w="1548"/>
          </w:tcPr>
          <w:p>
            <w:pPr>
              <w:spacing w:after="0"/>
              <w:jc w:val="left"/>
            </w:pPr>
            <w:r>
              <w:rPr>
                <w:sz w:val="16"/>
              </w:rPr>
              <w:t>Drought, 2007-09-01, $0 property; $3,030,000 crops, reported for the zone (2007 dollars)</w:t>
            </w:r>
          </w:p>
        </w:tc>
        <w:tc>
          <w:tcPr>
            <w:tcW w:type="dxa" w:w="1595"/>
          </w:tcPr>
          <w:p>
            <w:pPr>
              <w:spacing w:after="0"/>
              <w:jc w:val="left"/>
            </w:pPr>
            <w:r>
              <w:rPr>
                <w:sz w:val="16"/>
              </w:rPr>
              <w:t>Zone-level records: applies countywide; national data do not locate these events within the county.</w:t>
            </w:r>
          </w:p>
        </w:tc>
        <w:tc>
          <w:tcPr>
            <w:tcW w:type="dxa" w:w="2190"/>
          </w:tcPr>
          <w:p>
            <w:pPr>
              <w:spacing w:after="0"/>
              <w:jc w:val="left"/>
            </w:pPr>
            <w:r>
              <w:rPr>
                <w:sz w:val="16"/>
              </w:rPr>
              <w:t>Storm Events enters a drought at D2 or worse east of the Rockies and D3 or worse from the Rockies west (NWS Instruction 10-1605); NRI drought counts D3 and D4 only.</w:t>
            </w:r>
          </w:p>
        </w:tc>
      </w:tr>
      <w:tr>
        <w:trPr>
          <w:cantSplit/>
        </w:trPr>
        <w:tc>
          <w:tcPr>
            <w:tcW w:type="dxa" w:w="1705"/>
          </w:tcPr>
          <w:p>
            <w:pPr>
              <w:spacing w:after="0"/>
              <w:jc w:val="left"/>
            </w:pPr>
            <w:r>
              <w:rPr>
                <w:sz w:val="16"/>
              </w:rPr>
              <w:t>Earthquake</w:t>
            </w:r>
          </w:p>
        </w:tc>
        <w:tc>
          <w:tcPr>
            <w:tcW w:type="dxa" w:w="1713"/>
          </w:tcPr>
          <w:p>
            <w:pPr>
              <w:spacing w:after="0"/>
              <w:jc w:val="left"/>
            </w:pPr>
            <w:r>
              <w:rPr>
                <w:sz w:val="16"/>
              </w:rPr>
              <w:t>Modified Mercalli (local data)</w:t>
            </w:r>
          </w:p>
        </w:tc>
        <w:tc>
          <w:tcPr>
            <w:tcW w:type="dxa" w:w="1573"/>
          </w:tcPr>
          <w:p>
            <w:pPr>
              <w:spacing w:after="0"/>
              <w:jc w:val="right"/>
            </w:pPr>
            <w:r>
              <w:rPr>
                <w:sz w:val="16"/>
              </w:rPr>
              <w:t>0</w:t>
            </w:r>
          </w:p>
        </w:tc>
        <w:tc>
          <w:tcPr>
            <w:tcW w:type="dxa" w:w="1923"/>
          </w:tcPr>
          <w:p>
            <w:pPr>
              <w:spacing w:after="0"/>
              <w:jc w:val="left"/>
            </w:pPr>
          </w:p>
        </w:tc>
        <w:tc>
          <w:tcPr>
            <w:tcW w:type="dxa" w:w="1865"/>
          </w:tcPr>
          <w:p>
            <w:pPr>
              <w:spacing w:after="0"/>
              <w:jc w:val="left"/>
            </w:pPr>
          </w:p>
        </w:tc>
        <w:tc>
          <w:tcPr>
            <w:tcW w:type="dxa" w:w="1548"/>
          </w:tcPr>
          <w:p>
            <w:pPr>
              <w:spacing w:after="0"/>
              <w:jc w:val="left"/>
            </w:pPr>
          </w:p>
        </w:tc>
        <w:tc>
          <w:tcPr>
            <w:tcW w:type="dxa" w:w="1595"/>
          </w:tcPr>
          <w:p>
            <w:pPr>
              <w:spacing w:after="0"/>
              <w:jc w:val="left"/>
            </w:pPr>
          </w:p>
        </w:tc>
        <w:tc>
          <w:tcPr>
            <w:tcW w:type="dxa" w:w="2190"/>
          </w:tcPr>
          <w:p>
            <w:pPr>
              <w:spacing w:after="0"/>
              <w:jc w:val="left"/>
            </w:pPr>
            <w:r>
              <w:rPr>
                <w:sz w:val="16"/>
              </w:rPr>
              <w:t>No Storm Events record; local data required (e.g., USGS).</w:t>
            </w:r>
          </w:p>
        </w:tc>
      </w:tr>
      <w:tr>
        <w:trPr>
          <w:cantSplit/>
        </w:trPr>
        <w:tc>
          <w:tcPr>
            <w:tcW w:type="dxa" w:w="1705"/>
          </w:tcPr>
          <w:p>
            <w:pPr>
              <w:spacing w:after="0"/>
              <w:jc w:val="left"/>
            </w:pPr>
            <w:r>
              <w:rPr>
                <w:sz w:val="16"/>
              </w:rPr>
              <w:t>Hail</w:t>
            </w:r>
          </w:p>
        </w:tc>
        <w:tc>
          <w:tcPr>
            <w:tcW w:type="dxa" w:w="1713"/>
          </w:tcPr>
          <w:p>
            <w:pPr>
              <w:spacing w:after="0"/>
              <w:jc w:val="left"/>
            </w:pPr>
            <w:r>
              <w:rPr>
                <w:sz w:val="16"/>
              </w:rPr>
              <w:t>hail size (inches)</w:t>
            </w:r>
          </w:p>
        </w:tc>
        <w:tc>
          <w:tcPr>
            <w:tcW w:type="dxa" w:w="1573"/>
          </w:tcPr>
          <w:p>
            <w:pPr>
              <w:spacing w:after="0"/>
              <w:jc w:val="right"/>
            </w:pPr>
            <w:r>
              <w:rPr>
                <w:sz w:val="16"/>
              </w:rPr>
              <w:t>79, 1960 to 2026</w:t>
            </w:r>
          </w:p>
        </w:tc>
        <w:tc>
          <w:tcPr>
            <w:tcW w:type="dxa" w:w="1923"/>
          </w:tcPr>
          <w:p>
            <w:pPr>
              <w:spacing w:after="0"/>
              <w:jc w:val="left"/>
            </w:pPr>
            <w:r>
              <w:rPr>
                <w:sz w:val="16"/>
              </w:rPr>
              <w:t>0.75 in to 4.25 in (median 1 in); 79 with a recorded value</w:t>
            </w:r>
          </w:p>
        </w:tc>
        <w:tc>
          <w:tcPr>
            <w:tcW w:type="dxa" w:w="1865"/>
          </w:tcPr>
          <w:p>
            <w:pPr>
              <w:spacing w:after="0"/>
              <w:jc w:val="left"/>
            </w:pPr>
            <w:r>
              <w:rPr>
                <w:sz w:val="16"/>
              </w:rPr>
              <w:t>4.25 in hail, 2006-05-25</w:t>
            </w:r>
          </w:p>
        </w:tc>
        <w:tc>
          <w:tcPr>
            <w:tcW w:type="dxa" w:w="1548"/>
          </w:tcPr>
          <w:p>
            <w:pPr>
              <w:spacing w:after="0"/>
              <w:jc w:val="left"/>
            </w:pPr>
            <w:r>
              <w:rPr>
                <w:sz w:val="16"/>
              </w:rPr>
              <w:t>Hail, 2011-04-26, $20,000 property; $0 crops (2011 dollars)</w:t>
            </w:r>
          </w:p>
        </w:tc>
        <w:tc>
          <w:tcPr>
            <w:tcW w:type="dxa" w:w="1595"/>
          </w:tcPr>
          <w:p>
            <w:pPr>
              <w:spacing w:after="0"/>
              <w:jc w:val="left"/>
            </w:pPr>
            <w:r>
              <w:rPr>
                <w:sz w:val="16"/>
              </w:rPr>
              <w:t>Event records naming member places: Newburgh town (20 records), Boonville city (15 records), Chandler town (6 records), Lynnville town (6 records), Tennyson town (6 records), Elberfeld town (2 records).</w:t>
            </w:r>
          </w:p>
        </w:tc>
        <w:tc>
          <w:tcPr>
            <w:tcW w:type="dxa" w:w="2190"/>
          </w:tcPr>
          <w:p>
            <w:pPr>
              <w:spacing w:after="0"/>
              <w:jc w:val="left"/>
            </w:pPr>
          </w:p>
        </w:tc>
      </w:tr>
      <w:tr>
        <w:trPr>
          <w:cantSplit/>
        </w:trPr>
        <w:tc>
          <w:tcPr>
            <w:tcW w:type="dxa" w:w="1705"/>
          </w:tcPr>
          <w:p>
            <w:pPr>
              <w:spacing w:after="0"/>
              <w:jc w:val="left"/>
            </w:pPr>
            <w:r>
              <w:rPr>
                <w:sz w:val="16"/>
              </w:rPr>
              <w:t>Excessive Heat, Heat</w:t>
            </w:r>
          </w:p>
        </w:tc>
        <w:tc>
          <w:tcPr>
            <w:tcW w:type="dxa" w:w="1713"/>
          </w:tcPr>
          <w:p>
            <w:pPr>
              <w:spacing w:after="0"/>
              <w:jc w:val="left"/>
            </w:pPr>
            <w:r>
              <w:rPr>
                <w:sz w:val="16"/>
              </w:rPr>
              <w:t>heat index (narratives)</w:t>
            </w:r>
          </w:p>
        </w:tc>
        <w:tc>
          <w:tcPr>
            <w:tcW w:type="dxa" w:w="1573"/>
          </w:tcPr>
          <w:p>
            <w:pPr>
              <w:spacing w:after="0"/>
              <w:jc w:val="right"/>
            </w:pPr>
            <w:r>
              <w:rPr>
                <w:sz w:val="16"/>
              </w:rPr>
              <w:t>70, 1997 to 2025 (70 zone-level)</w:t>
            </w:r>
          </w:p>
        </w:tc>
        <w:tc>
          <w:tcPr>
            <w:tcW w:type="dxa" w:w="1923"/>
          </w:tcPr>
          <w:p>
            <w:pPr>
              <w:spacing w:after="0"/>
              <w:jc w:val="left"/>
            </w:pPr>
            <w:r>
              <w:rPr>
                <w:sz w:val="16"/>
              </w:rPr>
              <w:t>1 day to 14 days (median 2 days); 60 with a recorded value</w:t>
            </w:r>
          </w:p>
        </w:tc>
        <w:tc>
          <w:tcPr>
            <w:tcW w:type="dxa" w:w="1865"/>
          </w:tcPr>
          <w:p>
            <w:pPr>
              <w:spacing w:after="0"/>
              <w:jc w:val="left"/>
            </w:pPr>
            <w:r>
              <w:rPr>
                <w:sz w:val="16"/>
              </w:rPr>
              <w:t>14 consecutive days, 1999-07-18 to 1999-07-31, zone-level</w:t>
            </w:r>
          </w:p>
        </w:tc>
        <w:tc>
          <w:tcPr>
            <w:tcW w:type="dxa" w:w="1548"/>
          </w:tcPr>
          <w:p>
            <w:pPr>
              <w:spacing w:after="0"/>
              <w:jc w:val="left"/>
            </w:pPr>
          </w:p>
        </w:tc>
        <w:tc>
          <w:tcPr>
            <w:tcW w:type="dxa" w:w="1595"/>
          </w:tcPr>
          <w:p>
            <w:pPr>
              <w:spacing w:after="0"/>
              <w:jc w:val="left"/>
            </w:pPr>
            <w:r>
              <w:rPr>
                <w:sz w:val="16"/>
              </w:rPr>
              <w:t>Zone-level records: applies countywide; national data do not locate these events within the county.</w:t>
            </w:r>
          </w:p>
        </w:tc>
        <w:tc>
          <w:tcPr>
            <w:tcW w:type="dxa" w:w="2190"/>
          </w:tcPr>
          <w:p>
            <w:pPr>
              <w:spacing w:after="0"/>
              <w:jc w:val="left"/>
            </w:pPr>
            <w:r>
              <w:rPr>
                <w:sz w:val="16"/>
              </w:rPr>
              <w:t>Heat index: in event narratives only; local data required. Heat records from November to March (unseasonable warmth, not a heat wave) are counted but not used for the longest run.</w:t>
            </w:r>
          </w:p>
        </w:tc>
      </w:tr>
      <w:tr>
        <w:trPr>
          <w:cantSplit/>
        </w:trPr>
        <w:tc>
          <w:tcPr>
            <w:tcW w:type="dxa" w:w="1705"/>
          </w:tcPr>
          <w:p>
            <w:pPr>
              <w:spacing w:after="0"/>
              <w:jc w:val="left"/>
            </w:pPr>
            <w:r>
              <w:rPr>
                <w:sz w:val="16"/>
              </w:rPr>
              <w:t>Hurricane, Tropical Storm, Tropical Depression</w:t>
            </w:r>
          </w:p>
        </w:tc>
        <w:tc>
          <w:tcPr>
            <w:tcW w:type="dxa" w:w="1713"/>
          </w:tcPr>
          <w:p>
            <w:pPr>
              <w:spacing w:after="0"/>
              <w:jc w:val="left"/>
            </w:pPr>
            <w:r>
              <w:rPr>
                <w:sz w:val="16"/>
              </w:rPr>
              <w:t>Saffir-Simpson</w:t>
            </w:r>
          </w:p>
        </w:tc>
        <w:tc>
          <w:tcPr>
            <w:tcW w:type="dxa" w:w="1573"/>
          </w:tcPr>
          <w:p>
            <w:pPr>
              <w:spacing w:after="0"/>
              <w:jc w:val="right"/>
            </w:pPr>
            <w:r>
              <w:rPr>
                <w:sz w:val="16"/>
              </w:rPr>
              <w:t>0</w:t>
            </w:r>
          </w:p>
        </w:tc>
        <w:tc>
          <w:tcPr>
            <w:tcW w:type="dxa" w:w="1923"/>
          </w:tcPr>
          <w:p>
            <w:pPr>
              <w:spacing w:after="0"/>
              <w:jc w:val="left"/>
            </w:pPr>
          </w:p>
        </w:tc>
        <w:tc>
          <w:tcPr>
            <w:tcW w:type="dxa" w:w="1865"/>
          </w:tcPr>
          <w:p>
            <w:pPr>
              <w:spacing w:after="0"/>
              <w:jc w:val="left"/>
            </w:pPr>
          </w:p>
        </w:tc>
        <w:tc>
          <w:tcPr>
            <w:tcW w:type="dxa" w:w="1548"/>
          </w:tcPr>
          <w:p>
            <w:pPr>
              <w:spacing w:after="0"/>
              <w:jc w:val="left"/>
            </w:pPr>
          </w:p>
        </w:tc>
        <w:tc>
          <w:tcPr>
            <w:tcW w:type="dxa" w:w="1595"/>
          </w:tcPr>
          <w:p>
            <w:pPr>
              <w:spacing w:after="0"/>
              <w:jc w:val="left"/>
            </w:pPr>
          </w:p>
        </w:tc>
        <w:tc>
          <w:tcPr>
            <w:tcW w:type="dxa" w:w="2190"/>
          </w:tcPr>
          <w:p>
            <w:pPr>
              <w:spacing w:after="0"/>
              <w:jc w:val="left"/>
            </w:pPr>
            <w:r>
              <w:rPr>
                <w:sz w:val="16"/>
              </w:rPr>
              <w:t>Storm Events files every zone of a storm's episode under the storm's event type and category, so a Hurricane (Typhoon) record, especially an inland or remnant one, does not by itself mean hurricane-force winds here; read the damage and wind columns.</w:t>
            </w:r>
          </w:p>
        </w:tc>
      </w:tr>
      <w:tr>
        <w:trPr>
          <w:cantSplit/>
        </w:trPr>
        <w:tc>
          <w:tcPr>
            <w:tcW w:type="dxa" w:w="1705"/>
          </w:tcPr>
          <w:p>
            <w:pPr>
              <w:spacing w:after="0"/>
              <w:jc w:val="left"/>
            </w:pPr>
            <w:r>
              <w:rPr>
                <w:sz w:val="16"/>
              </w:rPr>
              <w:t>Ice Storm</w:t>
            </w:r>
          </w:p>
        </w:tc>
        <w:tc>
          <w:tcPr>
            <w:tcW w:type="dxa" w:w="1713"/>
          </w:tcPr>
          <w:p>
            <w:pPr>
              <w:spacing w:after="0"/>
              <w:jc w:val="left"/>
            </w:pPr>
            <w:r>
              <w:rPr>
                <w:sz w:val="16"/>
              </w:rPr>
              <w:t>Sperry-Piltz (local data)</w:t>
            </w:r>
          </w:p>
        </w:tc>
        <w:tc>
          <w:tcPr>
            <w:tcW w:type="dxa" w:w="1573"/>
          </w:tcPr>
          <w:p>
            <w:pPr>
              <w:spacing w:after="0"/>
              <w:jc w:val="right"/>
            </w:pPr>
            <w:r>
              <w:rPr>
                <w:sz w:val="16"/>
              </w:rPr>
              <w:t>5, 1997 to 2010 (5 zone-level)</w:t>
            </w:r>
          </w:p>
        </w:tc>
        <w:tc>
          <w:tcPr>
            <w:tcW w:type="dxa" w:w="1923"/>
          </w:tcPr>
          <w:p>
            <w:pPr>
              <w:spacing w:after="0"/>
              <w:jc w:val="left"/>
            </w:pPr>
          </w:p>
        </w:tc>
        <w:tc>
          <w:tcPr>
            <w:tcW w:type="dxa" w:w="1865"/>
          </w:tcPr>
          <w:p>
            <w:pPr>
              <w:spacing w:after="0"/>
              <w:jc w:val="left"/>
            </w:pPr>
            <w:r>
              <w:rPr>
                <w:sz w:val="16"/>
              </w:rPr>
              <w:t>No damage reported in 5 records.</w:t>
            </w:r>
          </w:p>
        </w:tc>
        <w:tc>
          <w:tcPr>
            <w:tcW w:type="dxa" w:w="1548"/>
          </w:tcPr>
          <w:p>
            <w:pPr>
              <w:spacing w:after="0"/>
              <w:jc w:val="left"/>
            </w:pPr>
          </w:p>
        </w:tc>
        <w:tc>
          <w:tcPr>
            <w:tcW w:type="dxa" w:w="1595"/>
          </w:tcPr>
          <w:p>
            <w:pPr>
              <w:spacing w:after="0"/>
              <w:jc w:val="left"/>
            </w:pPr>
            <w:r>
              <w:rPr>
                <w:sz w:val="16"/>
              </w:rPr>
              <w:t>Zone-level records: applies countywide; national data do not locate these events within the county.</w:t>
            </w:r>
          </w:p>
        </w:tc>
        <w:tc>
          <w:tcPr>
            <w:tcW w:type="dxa" w:w="2190"/>
          </w:tcPr>
          <w:p>
            <w:pPr>
              <w:spacing w:after="0"/>
              <w:jc w:val="left"/>
            </w:pPr>
            <w:r>
              <w:rPr>
                <w:sz w:val="16"/>
              </w:rPr>
              <w:t>Ice thickness: in event narratives only; local data required.</w:t>
            </w:r>
          </w:p>
        </w:tc>
      </w:tr>
      <w:tr>
        <w:trPr>
          <w:cantSplit/>
        </w:trPr>
        <w:tc>
          <w:tcPr>
            <w:tcW w:type="dxa" w:w="1705"/>
          </w:tcPr>
          <w:p>
            <w:pPr>
              <w:spacing w:after="0"/>
              <w:jc w:val="left"/>
            </w:pPr>
            <w:r>
              <w:rPr>
                <w:sz w:val="16"/>
              </w:rPr>
              <w:t>Flash Flood, Flood, Lakeshore Flood</w:t>
            </w:r>
          </w:p>
        </w:tc>
        <w:tc>
          <w:tcPr>
            <w:tcW w:type="dxa" w:w="1713"/>
          </w:tcPr>
          <w:p>
            <w:pPr>
              <w:spacing w:after="0"/>
              <w:jc w:val="left"/>
            </w:pPr>
            <w:r>
              <w:rPr>
                <w:sz w:val="16"/>
              </w:rPr>
              <w:t>damage and flood days (FIRM for depth)</w:t>
            </w:r>
          </w:p>
        </w:tc>
        <w:tc>
          <w:tcPr>
            <w:tcW w:type="dxa" w:w="1573"/>
          </w:tcPr>
          <w:p>
            <w:pPr>
              <w:spacing w:after="0"/>
              <w:jc w:val="right"/>
            </w:pPr>
            <w:r>
              <w:rPr>
                <w:sz w:val="16"/>
              </w:rPr>
              <w:t>161, 1996 to 2025 (36 zone-level)</w:t>
            </w:r>
          </w:p>
        </w:tc>
        <w:tc>
          <w:tcPr>
            <w:tcW w:type="dxa" w:w="1923"/>
          </w:tcPr>
          <w:p>
            <w:pPr>
              <w:spacing w:after="0"/>
              <w:jc w:val="left"/>
            </w:pPr>
          </w:p>
        </w:tc>
        <w:tc>
          <w:tcPr>
            <w:tcW w:type="dxa" w:w="1865"/>
          </w:tcPr>
          <w:p>
            <w:pPr>
              <w:spacing w:after="0"/>
              <w:jc w:val="left"/>
            </w:pPr>
            <w:r>
              <w:rPr>
                <w:sz w:val="16"/>
              </w:rPr>
              <w:t>Flash Flood, 2005-11-15, $350,000 property; crops not reported (2005 dollars)</w:t>
            </w:r>
          </w:p>
        </w:tc>
        <w:tc>
          <w:tcPr>
            <w:tcW w:type="dxa" w:w="1548"/>
          </w:tcPr>
          <w:p>
            <w:pPr>
              <w:spacing w:after="0"/>
              <w:jc w:val="left"/>
            </w:pPr>
          </w:p>
        </w:tc>
        <w:tc>
          <w:tcPr>
            <w:tcW w:type="dxa" w:w="1595"/>
          </w:tcPr>
          <w:p>
            <w:pPr>
              <w:spacing w:after="0"/>
              <w:jc w:val="left"/>
            </w:pPr>
            <w:r>
              <w:rPr>
                <w:sz w:val="16"/>
              </w:rPr>
              <w:t>Event records naming member places: Newburgh town (84 records), Boonville city (13 records), Chandler town (6 records), Elberfeld town (2 records), Tennyson town (2 records), Lynnville town (1 record). Zone-level records (36) apply countywide.</w:t>
            </w:r>
          </w:p>
        </w:tc>
        <w:tc>
          <w:tcPr>
            <w:tcW w:type="dxa" w:w="2190"/>
          </w:tcPr>
          <w:p>
            <w:pPr>
              <w:spacing w:after="0"/>
              <w:jc w:val="left"/>
            </w:pPr>
            <w:r>
              <w:rPr>
                <w:sz w:val="16"/>
              </w:rPr>
              <w:t>Flood depth: see the FEMA Flood Insurance Rate Map. Storm Events damage can be $0 or blank even for a major flood, so the worst record here may not be the worst flood; compare FEMA Public Assistance by declaration in B1-d.</w:t>
            </w:r>
          </w:p>
        </w:tc>
      </w:tr>
      <w:tr>
        <w:trPr>
          <w:cantSplit/>
        </w:trPr>
        <w:tc>
          <w:tcPr>
            <w:tcW w:type="dxa" w:w="1705"/>
          </w:tcPr>
          <w:p>
            <w:pPr>
              <w:spacing w:after="0"/>
              <w:jc w:val="left"/>
            </w:pPr>
            <w:r>
              <w:rPr>
                <w:sz w:val="16"/>
              </w:rPr>
              <w:t>Debris Flow</w:t>
            </w:r>
          </w:p>
        </w:tc>
        <w:tc>
          <w:tcPr>
            <w:tcW w:type="dxa" w:w="1713"/>
          </w:tcPr>
          <w:p>
            <w:pPr>
              <w:spacing w:after="0"/>
              <w:jc w:val="left"/>
            </w:pPr>
            <w:r>
              <w:rPr>
                <w:sz w:val="16"/>
              </w:rPr>
              <w:t>none (count and damage)</w:t>
            </w:r>
          </w:p>
        </w:tc>
        <w:tc>
          <w:tcPr>
            <w:tcW w:type="dxa" w:w="1573"/>
          </w:tcPr>
          <w:p>
            <w:pPr>
              <w:spacing w:after="0"/>
              <w:jc w:val="right"/>
            </w:pPr>
            <w:r>
              <w:rPr>
                <w:sz w:val="16"/>
              </w:rPr>
              <w:t>0</w:t>
            </w:r>
          </w:p>
        </w:tc>
        <w:tc>
          <w:tcPr>
            <w:tcW w:type="dxa" w:w="1923"/>
          </w:tcPr>
          <w:p>
            <w:pPr>
              <w:spacing w:after="0"/>
              <w:jc w:val="left"/>
            </w:pPr>
          </w:p>
        </w:tc>
        <w:tc>
          <w:tcPr>
            <w:tcW w:type="dxa" w:w="1865"/>
          </w:tcPr>
          <w:p>
            <w:pPr>
              <w:spacing w:after="0"/>
              <w:jc w:val="left"/>
            </w:pPr>
          </w:p>
        </w:tc>
        <w:tc>
          <w:tcPr>
            <w:tcW w:type="dxa" w:w="1548"/>
          </w:tcPr>
          <w:p>
            <w:pPr>
              <w:spacing w:after="0"/>
              <w:jc w:val="left"/>
            </w:pPr>
          </w:p>
        </w:tc>
        <w:tc>
          <w:tcPr>
            <w:tcW w:type="dxa" w:w="1595"/>
          </w:tcPr>
          <w:p>
            <w:pPr>
              <w:spacing w:after="0"/>
              <w:jc w:val="left"/>
            </w:pPr>
          </w:p>
        </w:tc>
        <w:tc>
          <w:tcPr>
            <w:tcW w:type="dxa" w:w="2190"/>
          </w:tcPr>
          <w:p>
            <w:pPr>
              <w:spacing w:after="0"/>
              <w:jc w:val="left"/>
            </w:pPr>
            <w:r>
              <w:rPr>
                <w:sz w:val="16"/>
              </w:rPr>
              <w:t>Physical measure: in event narratives only; local data required.</w:t>
            </w:r>
          </w:p>
        </w:tc>
      </w:tr>
      <w:tr>
        <w:trPr>
          <w:cantSplit/>
        </w:trPr>
        <w:tc>
          <w:tcPr>
            <w:tcW w:type="dxa" w:w="1705"/>
          </w:tcPr>
          <w:p>
            <w:pPr>
              <w:spacing w:after="0"/>
              <w:jc w:val="left"/>
            </w:pPr>
            <w:r>
              <w:rPr>
                <w:sz w:val="16"/>
              </w:rPr>
              <w:t>Lightning</w:t>
            </w:r>
          </w:p>
        </w:tc>
        <w:tc>
          <w:tcPr>
            <w:tcW w:type="dxa" w:w="1713"/>
          </w:tcPr>
          <w:p>
            <w:pPr>
              <w:spacing w:after="0"/>
              <w:jc w:val="left"/>
            </w:pPr>
            <w:r>
              <w:rPr>
                <w:sz w:val="16"/>
              </w:rPr>
              <w:t>annualized frequency (the measure FEMA's Local Mitigation Planning Handbook names)</w:t>
            </w:r>
          </w:p>
        </w:tc>
        <w:tc>
          <w:tcPr>
            <w:tcW w:type="dxa" w:w="1573"/>
          </w:tcPr>
          <w:p>
            <w:pPr>
              <w:spacing w:after="0"/>
              <w:jc w:val="right"/>
            </w:pPr>
            <w:r>
              <w:rPr>
                <w:sz w:val="16"/>
              </w:rPr>
              <w:t>1, 2005 to 2005</w:t>
            </w:r>
          </w:p>
        </w:tc>
        <w:tc>
          <w:tcPr>
            <w:tcW w:type="dxa" w:w="1923"/>
          </w:tcPr>
          <w:p>
            <w:pPr>
              <w:spacing w:after="0"/>
              <w:jc w:val="left"/>
            </w:pPr>
          </w:p>
        </w:tc>
        <w:tc>
          <w:tcPr>
            <w:tcW w:type="dxa" w:w="1865"/>
          </w:tcPr>
          <w:p>
            <w:pPr>
              <w:spacing w:after="0"/>
              <w:jc w:val="left"/>
            </w:pPr>
            <w:r>
              <w:rPr>
                <w:sz w:val="16"/>
              </w:rPr>
              <w:t>Lightning, 2005-04-22, $10,000 property; crops not reported (2005 dollars)</w:t>
            </w:r>
          </w:p>
        </w:tc>
        <w:tc>
          <w:tcPr>
            <w:tcW w:type="dxa" w:w="1548"/>
          </w:tcPr>
          <w:p>
            <w:pPr>
              <w:spacing w:after="0"/>
              <w:jc w:val="left"/>
            </w:pPr>
          </w:p>
        </w:tc>
        <w:tc>
          <w:tcPr>
            <w:tcW w:type="dxa" w:w="1595"/>
          </w:tcPr>
          <w:p>
            <w:pPr>
              <w:spacing w:after="0"/>
              <w:jc w:val="left"/>
            </w:pPr>
            <w:r>
              <w:rPr>
                <w:sz w:val="16"/>
              </w:rPr>
              <w:t>No event record names a member place.</w:t>
            </w:r>
          </w:p>
        </w:tc>
        <w:tc>
          <w:tcPr>
            <w:tcW w:type="dxa" w:w="2190"/>
          </w:tcPr>
          <w:p>
            <w:pPr>
              <w:spacing w:after="0"/>
              <w:jc w:val="left"/>
            </w:pPr>
            <w:r>
              <w:rPr>
                <w:sz w:val="16"/>
              </w:rPr>
              <w:t>Storm Events lists lightning with damage or casualties; physical measure in event narratives only; local data required.</w:t>
            </w:r>
          </w:p>
        </w:tc>
      </w:tr>
      <w:tr>
        <w:trPr>
          <w:cantSplit/>
        </w:trPr>
        <w:tc>
          <w:tcPr>
            <w:tcW w:type="dxa" w:w="1705"/>
          </w:tcPr>
          <w:p>
            <w:pPr>
              <w:spacing w:after="0"/>
              <w:jc w:val="left"/>
            </w:pPr>
            <w:r>
              <w:rPr>
                <w:sz w:val="16"/>
              </w:rPr>
              <w:t>High Wind and Strong Wind (outside NRI Strong Wind definition)</w:t>
            </w:r>
          </w:p>
        </w:tc>
        <w:tc>
          <w:tcPr>
            <w:tcW w:type="dxa" w:w="1713"/>
          </w:tcPr>
          <w:p>
            <w:pPr>
              <w:spacing w:after="0"/>
              <w:jc w:val="left"/>
            </w:pPr>
            <w:r>
              <w:rPr>
                <w:sz w:val="16"/>
              </w:rPr>
              <w:t>wind speed (kt and mph)</w:t>
            </w:r>
          </w:p>
        </w:tc>
        <w:tc>
          <w:tcPr>
            <w:tcW w:type="dxa" w:w="1573"/>
          </w:tcPr>
          <w:p>
            <w:pPr>
              <w:spacing w:after="0"/>
              <w:jc w:val="right"/>
            </w:pPr>
            <w:r>
              <w:rPr>
                <w:sz w:val="16"/>
              </w:rPr>
              <w:t>77, 1997 to 2026 (77 zone-level)</w:t>
            </w:r>
          </w:p>
        </w:tc>
        <w:tc>
          <w:tcPr>
            <w:tcW w:type="dxa" w:w="1923"/>
          </w:tcPr>
          <w:p>
            <w:pPr>
              <w:spacing w:after="0"/>
              <w:jc w:val="left"/>
            </w:pPr>
            <w:r>
              <w:rPr>
                <w:sz w:val="16"/>
              </w:rPr>
              <w:t>27 kt (31 mph) to 56 kt (64 mph) (median 39 kt (45 mph)); 72 with a recorded value</w:t>
            </w:r>
          </w:p>
        </w:tc>
        <w:tc>
          <w:tcPr>
            <w:tcW w:type="dxa" w:w="1865"/>
          </w:tcPr>
          <w:p>
            <w:pPr>
              <w:spacing w:after="0"/>
              <w:jc w:val="left"/>
            </w:pPr>
            <w:r>
              <w:rPr>
                <w:sz w:val="16"/>
              </w:rPr>
              <w:t>56 kt (64 mph) estimated gust, High Wind, 2008-09-14; NWS zone INZ087 (WARRICK), zone-level: may include parts of neighboring counties</w:t>
            </w:r>
          </w:p>
        </w:tc>
        <w:tc>
          <w:tcPr>
            <w:tcW w:type="dxa" w:w="1548"/>
          </w:tcPr>
          <w:p>
            <w:pPr>
              <w:spacing w:after="0"/>
              <w:jc w:val="left"/>
            </w:pPr>
          </w:p>
        </w:tc>
        <w:tc>
          <w:tcPr>
            <w:tcW w:type="dxa" w:w="1595"/>
          </w:tcPr>
          <w:p>
            <w:pPr>
              <w:spacing w:after="0"/>
              <w:jc w:val="left"/>
            </w:pPr>
            <w:r>
              <w:rPr>
                <w:sz w:val="16"/>
              </w:rPr>
              <w:t>Zone-level records: applies countywide; national data do not locate these events within the county.</w:t>
            </w:r>
          </w:p>
        </w:tc>
        <w:tc>
          <w:tcPr>
            <w:tcW w:type="dxa" w:w="2190"/>
          </w:tcPr>
          <w:p>
            <w:pPr>
              <w:spacing w:after="0"/>
              <w:jc w:val="left"/>
            </w:pPr>
          </w:p>
        </w:tc>
      </w:tr>
      <w:tr>
        <w:trPr>
          <w:cantSplit/>
        </w:trPr>
        <w:tc>
          <w:tcPr>
            <w:tcW w:type="dxa" w:w="1705"/>
          </w:tcPr>
          <w:p>
            <w:pPr>
              <w:spacing w:after="0"/>
              <w:jc w:val="left"/>
            </w:pPr>
            <w:r>
              <w:rPr>
                <w:sz w:val="16"/>
              </w:rPr>
              <w:t>Thunderstorm Wind</w:t>
            </w:r>
          </w:p>
        </w:tc>
        <w:tc>
          <w:tcPr>
            <w:tcW w:type="dxa" w:w="1713"/>
          </w:tcPr>
          <w:p>
            <w:pPr>
              <w:spacing w:after="0"/>
              <w:jc w:val="left"/>
            </w:pPr>
            <w:r>
              <w:rPr>
                <w:sz w:val="16"/>
              </w:rPr>
              <w:t>wind speed (kt and mph)</w:t>
            </w:r>
          </w:p>
        </w:tc>
        <w:tc>
          <w:tcPr>
            <w:tcW w:type="dxa" w:w="1573"/>
          </w:tcPr>
          <w:p>
            <w:pPr>
              <w:spacing w:after="0"/>
              <w:jc w:val="right"/>
            </w:pPr>
            <w:r>
              <w:rPr>
                <w:sz w:val="16"/>
              </w:rPr>
              <w:t>135, 1960 to 2025</w:t>
            </w:r>
          </w:p>
        </w:tc>
        <w:tc>
          <w:tcPr>
            <w:tcW w:type="dxa" w:w="1923"/>
          </w:tcPr>
          <w:p>
            <w:pPr>
              <w:spacing w:after="0"/>
              <w:jc w:val="left"/>
            </w:pPr>
            <w:r>
              <w:rPr>
                <w:sz w:val="16"/>
              </w:rPr>
              <w:t>50 kt (58 mph) to 104 kt (120 mph) (median 52 kt (60 mph)); 110 with a recorded value</w:t>
            </w:r>
          </w:p>
        </w:tc>
        <w:tc>
          <w:tcPr>
            <w:tcW w:type="dxa" w:w="1865"/>
          </w:tcPr>
          <w:p>
            <w:pPr>
              <w:spacing w:after="0"/>
              <w:jc w:val="left"/>
            </w:pPr>
            <w:r>
              <w:rPr>
                <w:sz w:val="16"/>
              </w:rPr>
              <w:t>104 kt (120 mph) estimated gust, Thunderstorm Wind, 2014-05-09</w:t>
            </w:r>
          </w:p>
        </w:tc>
        <w:tc>
          <w:tcPr>
            <w:tcW w:type="dxa" w:w="1548"/>
          </w:tcPr>
          <w:p>
            <w:pPr>
              <w:spacing w:after="0"/>
              <w:jc w:val="left"/>
            </w:pPr>
          </w:p>
        </w:tc>
        <w:tc>
          <w:tcPr>
            <w:tcW w:type="dxa" w:w="1595"/>
          </w:tcPr>
          <w:p>
            <w:pPr>
              <w:spacing w:after="0"/>
              <w:jc w:val="left"/>
            </w:pPr>
            <w:r>
              <w:rPr>
                <w:sz w:val="16"/>
              </w:rPr>
              <w:t>Event records naming member places: Newburgh town (38 records), Boonville city (27 records), Chandler town (13 records), Lynnville town (12 records), Tennyson town (4 records), Elberfeld town (3 records).</w:t>
            </w:r>
          </w:p>
        </w:tc>
        <w:tc>
          <w:tcPr>
            <w:tcW w:type="dxa" w:w="2190"/>
          </w:tcPr>
          <w:p>
            <w:pPr>
              <w:spacing w:after="0"/>
              <w:jc w:val="left"/>
            </w:pPr>
          </w:p>
        </w:tc>
      </w:tr>
      <w:tr>
        <w:trPr>
          <w:cantSplit/>
        </w:trPr>
        <w:tc>
          <w:tcPr>
            <w:tcW w:type="dxa" w:w="1705"/>
          </w:tcPr>
          <w:p>
            <w:pPr>
              <w:spacing w:after="0"/>
              <w:jc w:val="left"/>
            </w:pPr>
            <w:r>
              <w:rPr>
                <w:sz w:val="16"/>
              </w:rPr>
              <w:t>Tornado</w:t>
            </w:r>
          </w:p>
        </w:tc>
        <w:tc>
          <w:tcPr>
            <w:tcW w:type="dxa" w:w="1713"/>
          </w:tcPr>
          <w:p>
            <w:pPr>
              <w:spacing w:after="0"/>
              <w:jc w:val="left"/>
            </w:pPr>
            <w:r>
              <w:rPr>
                <w:sz w:val="16"/>
              </w:rPr>
              <w:t>Enhanced Fujita (F before Feb 2007)</w:t>
            </w:r>
          </w:p>
        </w:tc>
        <w:tc>
          <w:tcPr>
            <w:tcW w:type="dxa" w:w="1573"/>
          </w:tcPr>
          <w:p>
            <w:pPr>
              <w:spacing w:after="0"/>
              <w:jc w:val="right"/>
            </w:pPr>
            <w:r>
              <w:rPr>
                <w:sz w:val="16"/>
              </w:rPr>
              <w:t>29, 1955 to 2024</w:t>
            </w:r>
          </w:p>
        </w:tc>
        <w:tc>
          <w:tcPr>
            <w:tcW w:type="dxa" w:w="1923"/>
          </w:tcPr>
          <w:p>
            <w:pPr>
              <w:spacing w:after="0"/>
              <w:jc w:val="left"/>
            </w:pPr>
            <w:r>
              <w:rPr>
                <w:sz w:val="16"/>
              </w:rPr>
              <w:t>F/EF0 to F/EF3 (median F/EF1); 29 with a recorded value</w:t>
            </w:r>
          </w:p>
        </w:tc>
        <w:tc>
          <w:tcPr>
            <w:tcW w:type="dxa" w:w="1865"/>
          </w:tcPr>
          <w:p>
            <w:pPr>
              <w:spacing w:after="0"/>
              <w:jc w:val="left"/>
            </w:pPr>
            <w:r>
              <w:rPr>
                <w:sz w:val="16"/>
              </w:rPr>
              <w:t>F3 tornado, 2005-11-06, 21 mi within this county, 500 yd wide, $65,000,000 property; crops not reported (2005 dollars), 4 direct deaths, 30 direct injuries</w:t>
            </w:r>
          </w:p>
        </w:tc>
        <w:tc>
          <w:tcPr>
            <w:tcW w:type="dxa" w:w="1548"/>
          </w:tcPr>
          <w:p>
            <w:pPr>
              <w:spacing w:after="0"/>
              <w:jc w:val="left"/>
            </w:pPr>
          </w:p>
        </w:tc>
        <w:tc>
          <w:tcPr>
            <w:tcW w:type="dxa" w:w="1595"/>
          </w:tcPr>
          <w:p>
            <w:pPr>
              <w:spacing w:after="0"/>
              <w:jc w:val="left"/>
            </w:pPr>
            <w:r>
              <w:rPr>
                <w:sz w:val="16"/>
              </w:rPr>
              <w:t>Event records naming member places: Elberfeld town (4 records), Lynnville town (4 records), Newburgh town (4 records), Chandler town (2 records), Tennyson town (2 records), Boonville city (1 record).</w:t>
            </w:r>
          </w:p>
        </w:tc>
        <w:tc>
          <w:tcPr>
            <w:tcW w:type="dxa" w:w="2190"/>
          </w:tcPr>
          <w:p>
            <w:pPr>
              <w:spacing w:after="0"/>
              <w:jc w:val="left"/>
            </w:pPr>
            <w:r>
              <w:rPr>
                <w:sz w:val="16"/>
              </w:rPr>
              <w:t>From 1996 on, tornado records are per-county segments and length is the path length within this county (NWS Instruction 10-1605); records before 1996 may give the whole path length, including the path outside this county, and before 1996 a tornado is listed once, under the county where it began, with the whole path's rating; counties farther along the path may not list it. Length is not used to rank tornadoes.</w:t>
            </w:r>
          </w:p>
        </w:tc>
      </w:tr>
      <w:tr>
        <w:trPr>
          <w:cantSplit/>
        </w:trPr>
        <w:tc>
          <w:tcPr>
            <w:tcW w:type="dxa" w:w="1705"/>
          </w:tcPr>
          <w:p>
            <w:pPr>
              <w:spacing w:after="0"/>
              <w:jc w:val="left"/>
            </w:pPr>
            <w:r>
              <w:rPr>
                <w:sz w:val="16"/>
              </w:rPr>
              <w:t>Tsunami</w:t>
            </w:r>
          </w:p>
        </w:tc>
        <w:tc>
          <w:tcPr>
            <w:tcW w:type="dxa" w:w="1713"/>
          </w:tcPr>
          <w:p>
            <w:pPr>
              <w:spacing w:after="0"/>
              <w:jc w:val="left"/>
            </w:pPr>
            <w:r>
              <w:rPr>
                <w:sz w:val="16"/>
              </w:rPr>
              <w:t>none (count and damage)</w:t>
            </w:r>
          </w:p>
        </w:tc>
        <w:tc>
          <w:tcPr>
            <w:tcW w:type="dxa" w:w="1573"/>
          </w:tcPr>
          <w:p>
            <w:pPr>
              <w:spacing w:after="0"/>
              <w:jc w:val="right"/>
            </w:pPr>
            <w:r>
              <w:rPr>
                <w:sz w:val="16"/>
              </w:rPr>
              <w:t>0</w:t>
            </w:r>
          </w:p>
        </w:tc>
        <w:tc>
          <w:tcPr>
            <w:tcW w:type="dxa" w:w="1923"/>
          </w:tcPr>
          <w:p>
            <w:pPr>
              <w:spacing w:after="0"/>
              <w:jc w:val="left"/>
            </w:pPr>
          </w:p>
        </w:tc>
        <w:tc>
          <w:tcPr>
            <w:tcW w:type="dxa" w:w="1865"/>
          </w:tcPr>
          <w:p>
            <w:pPr>
              <w:spacing w:after="0"/>
              <w:jc w:val="left"/>
            </w:pPr>
          </w:p>
        </w:tc>
        <w:tc>
          <w:tcPr>
            <w:tcW w:type="dxa" w:w="1548"/>
          </w:tcPr>
          <w:p>
            <w:pPr>
              <w:spacing w:after="0"/>
              <w:jc w:val="left"/>
            </w:pPr>
          </w:p>
        </w:tc>
        <w:tc>
          <w:tcPr>
            <w:tcW w:type="dxa" w:w="1595"/>
          </w:tcPr>
          <w:p>
            <w:pPr>
              <w:spacing w:after="0"/>
              <w:jc w:val="left"/>
            </w:pPr>
          </w:p>
        </w:tc>
        <w:tc>
          <w:tcPr>
            <w:tcW w:type="dxa" w:w="2190"/>
          </w:tcPr>
          <w:p>
            <w:pPr>
              <w:spacing w:after="0"/>
              <w:jc w:val="left"/>
            </w:pPr>
            <w:r>
              <w:rPr>
                <w:sz w:val="16"/>
              </w:rPr>
              <w:t>Physical measure: in event narratives only; local data required.</w:t>
            </w:r>
          </w:p>
        </w:tc>
      </w:tr>
      <w:tr>
        <w:trPr>
          <w:cantSplit/>
        </w:trPr>
        <w:tc>
          <w:tcPr>
            <w:tcW w:type="dxa" w:w="1705"/>
          </w:tcPr>
          <w:p>
            <w:pPr>
              <w:spacing w:after="0"/>
              <w:jc w:val="left"/>
            </w:pPr>
            <w:r>
              <w:rPr>
                <w:sz w:val="16"/>
              </w:rPr>
              <w:t>Volcanic Ash, Volcanic Ashfall</w:t>
            </w:r>
          </w:p>
        </w:tc>
        <w:tc>
          <w:tcPr>
            <w:tcW w:type="dxa" w:w="1713"/>
          </w:tcPr>
          <w:p>
            <w:pPr>
              <w:spacing w:after="0"/>
              <w:jc w:val="left"/>
            </w:pPr>
            <w:r>
              <w:rPr>
                <w:sz w:val="16"/>
              </w:rPr>
              <w:t>Volcanic Explosivity Index (local data)</w:t>
            </w:r>
          </w:p>
        </w:tc>
        <w:tc>
          <w:tcPr>
            <w:tcW w:type="dxa" w:w="1573"/>
          </w:tcPr>
          <w:p>
            <w:pPr>
              <w:spacing w:after="0"/>
              <w:jc w:val="right"/>
            </w:pPr>
            <w:r>
              <w:rPr>
                <w:sz w:val="16"/>
              </w:rPr>
              <w:t>0</w:t>
            </w:r>
          </w:p>
        </w:tc>
        <w:tc>
          <w:tcPr>
            <w:tcW w:type="dxa" w:w="1923"/>
          </w:tcPr>
          <w:p>
            <w:pPr>
              <w:spacing w:after="0"/>
              <w:jc w:val="left"/>
            </w:pPr>
          </w:p>
        </w:tc>
        <w:tc>
          <w:tcPr>
            <w:tcW w:type="dxa" w:w="1865"/>
          </w:tcPr>
          <w:p>
            <w:pPr>
              <w:spacing w:after="0"/>
              <w:jc w:val="left"/>
            </w:pPr>
          </w:p>
        </w:tc>
        <w:tc>
          <w:tcPr>
            <w:tcW w:type="dxa" w:w="1548"/>
          </w:tcPr>
          <w:p>
            <w:pPr>
              <w:spacing w:after="0"/>
              <w:jc w:val="left"/>
            </w:pPr>
          </w:p>
        </w:tc>
        <w:tc>
          <w:tcPr>
            <w:tcW w:type="dxa" w:w="1595"/>
          </w:tcPr>
          <w:p>
            <w:pPr>
              <w:spacing w:after="0"/>
              <w:jc w:val="left"/>
            </w:pPr>
          </w:p>
        </w:tc>
        <w:tc>
          <w:tcPr>
            <w:tcW w:type="dxa" w:w="2190"/>
          </w:tcPr>
          <w:p>
            <w:pPr>
              <w:spacing w:after="0"/>
              <w:jc w:val="left"/>
            </w:pPr>
            <w:r>
              <w:rPr>
                <w:sz w:val="16"/>
              </w:rPr>
              <w:t>Physical measure: in event narratives only; local data required.</w:t>
            </w:r>
          </w:p>
        </w:tc>
      </w:tr>
      <w:tr>
        <w:trPr>
          <w:cantSplit/>
        </w:trPr>
        <w:tc>
          <w:tcPr>
            <w:tcW w:type="dxa" w:w="1705"/>
          </w:tcPr>
          <w:p>
            <w:pPr>
              <w:spacing w:after="0"/>
              <w:jc w:val="left"/>
            </w:pPr>
            <w:r>
              <w:rPr>
                <w:sz w:val="16"/>
              </w:rPr>
              <w:t>Wildfire</w:t>
            </w:r>
          </w:p>
        </w:tc>
        <w:tc>
          <w:tcPr>
            <w:tcW w:type="dxa" w:w="1713"/>
          </w:tcPr>
          <w:p>
            <w:pPr>
              <w:spacing w:after="0"/>
              <w:jc w:val="left"/>
            </w:pPr>
            <w:r>
              <w:rPr>
                <w:sz w:val="16"/>
              </w:rPr>
              <w:t>acres burned (local data)</w:t>
            </w:r>
          </w:p>
        </w:tc>
        <w:tc>
          <w:tcPr>
            <w:tcW w:type="dxa" w:w="1573"/>
          </w:tcPr>
          <w:p>
            <w:pPr>
              <w:spacing w:after="0"/>
              <w:jc w:val="right"/>
            </w:pPr>
            <w:r>
              <w:rPr>
                <w:sz w:val="16"/>
              </w:rPr>
              <w:t>0</w:t>
            </w:r>
          </w:p>
        </w:tc>
        <w:tc>
          <w:tcPr>
            <w:tcW w:type="dxa" w:w="1923"/>
          </w:tcPr>
          <w:p>
            <w:pPr>
              <w:spacing w:after="0"/>
              <w:jc w:val="left"/>
            </w:pPr>
          </w:p>
        </w:tc>
        <w:tc>
          <w:tcPr>
            <w:tcW w:type="dxa" w:w="1865"/>
          </w:tcPr>
          <w:p>
            <w:pPr>
              <w:spacing w:after="0"/>
              <w:jc w:val="left"/>
            </w:pPr>
          </w:p>
        </w:tc>
        <w:tc>
          <w:tcPr>
            <w:tcW w:type="dxa" w:w="1548"/>
          </w:tcPr>
          <w:p>
            <w:pPr>
              <w:spacing w:after="0"/>
              <w:jc w:val="left"/>
            </w:pPr>
          </w:p>
        </w:tc>
        <w:tc>
          <w:tcPr>
            <w:tcW w:type="dxa" w:w="1595"/>
          </w:tcPr>
          <w:p>
            <w:pPr>
              <w:spacing w:after="0"/>
              <w:jc w:val="left"/>
            </w:pPr>
          </w:p>
        </w:tc>
        <w:tc>
          <w:tcPr>
            <w:tcW w:type="dxa" w:w="2190"/>
          </w:tcPr>
          <w:p>
            <w:pPr>
              <w:spacing w:after="0"/>
              <w:jc w:val="left"/>
            </w:pPr>
            <w:r>
              <w:rPr>
                <w:sz w:val="16"/>
              </w:rPr>
              <w:t>Acres burned: in event narratives only; local data required.</w:t>
            </w:r>
          </w:p>
        </w:tc>
      </w:tr>
      <w:tr>
        <w:trPr>
          <w:cantSplit/>
        </w:trPr>
        <w:tc>
          <w:tcPr>
            <w:tcW w:type="dxa" w:w="1705"/>
          </w:tcPr>
          <w:p>
            <w:pPr>
              <w:spacing w:after="0"/>
              <w:jc w:val="left"/>
            </w:pPr>
            <w:r>
              <w:rPr>
                <w:sz w:val="16"/>
              </w:rPr>
              <w:t>Winter Storm, Heavy Snow, Blizzard, Lake-Effect Snow, Winter Weather, Sleet</w:t>
            </w:r>
          </w:p>
        </w:tc>
        <w:tc>
          <w:tcPr>
            <w:tcW w:type="dxa" w:w="1713"/>
          </w:tcPr>
          <w:p>
            <w:pPr>
              <w:spacing w:after="0"/>
              <w:jc w:val="left"/>
            </w:pPr>
            <w:r>
              <w:rPr>
                <w:sz w:val="16"/>
              </w:rPr>
              <w:t>none in data (snowfall local)</w:t>
            </w:r>
          </w:p>
        </w:tc>
        <w:tc>
          <w:tcPr>
            <w:tcW w:type="dxa" w:w="1573"/>
          </w:tcPr>
          <w:p>
            <w:pPr>
              <w:spacing w:after="0"/>
              <w:jc w:val="right"/>
            </w:pPr>
            <w:r>
              <w:rPr>
                <w:sz w:val="16"/>
              </w:rPr>
              <w:t>115, 1996 to 2026 (115 zone-level)</w:t>
            </w:r>
          </w:p>
        </w:tc>
        <w:tc>
          <w:tcPr>
            <w:tcW w:type="dxa" w:w="1923"/>
          </w:tcPr>
          <w:p>
            <w:pPr>
              <w:spacing w:after="0"/>
              <w:jc w:val="left"/>
            </w:pPr>
          </w:p>
        </w:tc>
        <w:tc>
          <w:tcPr>
            <w:tcW w:type="dxa" w:w="1865"/>
          </w:tcPr>
          <w:p>
            <w:pPr>
              <w:spacing w:after="0"/>
              <w:jc w:val="left"/>
            </w:pPr>
            <w:r>
              <w:rPr>
                <w:sz w:val="16"/>
              </w:rPr>
              <w:t>Winter Storm, 2009-01-26, $8,000,000 property; $0 crops, reported for the zone (2009 dollars); NWS zone INZ087 (WARRICK), zone-level: may include parts of neighboring counties</w:t>
            </w:r>
          </w:p>
        </w:tc>
        <w:tc>
          <w:tcPr>
            <w:tcW w:type="dxa" w:w="1548"/>
          </w:tcPr>
          <w:p>
            <w:pPr>
              <w:spacing w:after="0"/>
              <w:jc w:val="left"/>
            </w:pPr>
          </w:p>
        </w:tc>
        <w:tc>
          <w:tcPr>
            <w:tcW w:type="dxa" w:w="1595"/>
          </w:tcPr>
          <w:p>
            <w:pPr>
              <w:spacing w:after="0"/>
              <w:jc w:val="left"/>
            </w:pPr>
            <w:r>
              <w:rPr>
                <w:sz w:val="16"/>
              </w:rPr>
              <w:t>Zone-level records: applies countywide; national data do not locate these events within the county.</w:t>
            </w:r>
          </w:p>
        </w:tc>
        <w:tc>
          <w:tcPr>
            <w:tcW w:type="dxa" w:w="2190"/>
          </w:tcPr>
          <w:p>
            <w:pPr>
              <w:spacing w:after="0"/>
              <w:jc w:val="left"/>
            </w:pPr>
            <w:r>
              <w:rPr>
                <w:sz w:val="16"/>
              </w:rPr>
              <w:t>Snow depth: in event narratives only; local data required.</w:t>
            </w:r>
          </w:p>
        </w:tc>
      </w:tr>
    </w:tbl>
    <w:p>
      <w:pPr>
        <w:spacing w:after="40" w:before="60"/>
      </w:pPr>
      <w:r>
        <w:rPr>
          <w:sz w:val="15"/>
        </w:rPr>
        <w:t>Storm Events records are more complete after 1996; before 1996 only Tornado (from 1950), Hail and Thunderstorm Wind (from 1955) exist. Zone-level records are placed with NWS zone-county files, which exist from 2020 on; an earlier record is placed by its zone number in the nearest later file only when its zone name matches that file, records from zones NWS renumbered are placed by name or left out, and a record whose zone is in no known file is left out of every count, so counts before 2020 can be low. Some current zones are also missing from the NWS files, so recent counts can be low too.</w:t>
      </w:r>
    </w:p>
    <w:p>
      <w:pPr>
        <w:spacing w:after="40" w:before="0"/>
      </w:pPr>
      <w:r>
        <w:rPr>
          <w:sz w:val="15"/>
        </w:rPr>
        <w:t>Dollars are nominal (as reported), labeled with the year; not adjusted for inflation.</w:t>
      </w:r>
    </w:p>
    <w:p>
      <w:pPr>
        <w:spacing w:after="20" w:before="0"/>
      </w:pPr>
      <w:r>
        <w:rPr>
          <w:b/>
          <w:color w:val="555555"/>
          <w:sz w:val="15"/>
        </w:rPr>
        <w:t xml:space="preserve">Source: </w:t>
      </w:r>
      <w:r>
        <w:rPr>
          <w:color w:val="555555"/>
          <w:sz w:val="15"/>
        </w:rPr>
        <w:t xml:space="preserve">NOAA NCEI, NOAA NCEI Storm Events Database, details files (csvfiles v1.0), version c20260918, pulled 2026-09-28, </w:t>
      </w:r>
      <w:hyperlink r:id="rId15">
        <w:r>
          <w:rPr>
            <w:color w:val="1F4E99"/>
            <w:sz w:val="15"/>
            <w:u w:val="single"/>
          </w:rPr>
          <w:t>https://www.ncei.noaa.gov/pub/data/swdi/stormevents/csvfiles/</w:t>
        </w:r>
      </w:hyperlink>
    </w:p>
    <w:p>
      <w:pPr>
        <w:spacing w:after="20" w:before="0"/>
      </w:pPr>
      <w:r>
        <w:rPr>
          <w:b/>
          <w:color w:val="555555"/>
          <w:sz w:val="15"/>
        </w:rPr>
        <w:t xml:space="preserve">Source: </w:t>
      </w:r>
      <w:r>
        <w:rPr>
          <w:color w:val="555555"/>
          <w:sz w:val="15"/>
        </w:rPr>
        <w:t xml:space="preserve">NOAA National Weather Service, NWS county-public forecast zones correlation file, version bp03mr20 to bp16ap26 (11 files; newest bp16ap26), pulled 2026-09-28, </w:t>
      </w:r>
      <w:hyperlink r:id="rId17">
        <w:r>
          <w:rPr>
            <w:color w:val="1F4E99"/>
            <w:sz w:val="15"/>
            <w:u w:val="single"/>
          </w:rPr>
          <w:t>https://www.weather.gov/gis/ZoneCounty</w:t>
        </w:r>
      </w:hyperlink>
    </w:p>
    <w:p>
      <w:pPr>
        <w:spacing w:after="80" w:before="0"/>
      </w:pPr>
    </w:p>
    <w:p>
      <w:pPr>
        <w:pStyle w:val="Heading2"/>
        <w:keepNext/>
        <w:spacing w:after="80"/>
      </w:pPr>
      <w:r>
        <w:rPr/>
        <w:t>Supports B1-d: previous occurrences</w:t>
      </w:r>
    </w:p>
    <w:p>
      <w:pPr>
        <w:keepNext/>
        <w:spacing w:after="40" w:before="0"/>
      </w:pPr>
      <w:r>
        <w:rPr>
          <w:b/>
        </w:rPr>
        <w:t xml:space="preserve">Declaration rows: </w:t>
      </w:r>
      <w:r>
        <w:rPr/>
        <w:t>20</w:t>
      </w:r>
    </w:p>
    <w:p>
      <w:pPr>
        <w:keepNext/>
        <w:spacing w:after="40" w:before="0"/>
      </w:pPr>
      <w:r>
        <w:rPr>
          <w:b/>
        </w:rPr>
        <w:t xml:space="preserve">Counted incidents: </w:t>
      </w:r>
      <w:r>
        <w:rPr/>
        <w:t>17</w:t>
      </w:r>
    </w:p>
    <w:p>
      <w:pPr>
        <w:pStyle w:val="Heading3"/>
        <w:keepNext/>
        <w:spacing w:after="80"/>
      </w:pPr>
      <w:r>
        <w:rPr/>
        <w:t>Federal disaster declarations for this county</w:t>
      </w:r>
    </w:p>
    <w:tbl>
      <w:tblPr>
        <w:tblW w:type="auto" w:w="0"/>
        <w:jc w:val="left"/>
        <w:tblBorders>
          <w:top w:val="single" w:sz="4" w:space="0" w:color="808080"/>
          <w:left w:val="single" w:sz="4" w:space="0" w:color="808080"/>
          <w:bottom w:val="single" w:sz="4" w:space="0" w:color="808080"/>
          <w:right w:val="single" w:sz="4" w:space="0" w:color="808080"/>
          <w:insideH w:val="single" w:sz="4" w:space="0" w:color="808080"/>
          <w:insideV w:val="single" w:sz="4" w:space="0" w:color="808080"/>
        </w:tblBorders>
        <w:tblLayout w:type="fixed"/>
        <w:tblCellMar>
          <w:top w:w="15" w:type="dxa"/>
          <w:left w:w="60" w:type="dxa"/>
          <w:bottom w:w="15" w:type="dxa"/>
          <w:right w:w="60" w:type="dxa"/>
        </w:tblCellMar>
        <w:tblLook w:firstColumn="1" w:firstRow="1" w:lastColumn="0" w:lastRow="0" w:noHBand="0" w:noVBand="1" w:val="04A0"/>
        <w:tblCaption w:val="Federal disaster declarations for this county"/>
        <w:tblDescription w:val="Hazard Plain table b1d_declarations"/>
      </w:tblPr>
      <w:tblGrid>
        <w:gridCol w:w="1076"/>
        <w:gridCol w:w="1076"/>
        <w:gridCol w:w="1076"/>
        <w:gridCol w:w="1447"/>
        <w:gridCol w:w="3207"/>
        <w:gridCol w:w="2373"/>
        <w:gridCol w:w="1484"/>
        <w:gridCol w:w="1447"/>
        <w:gridCol w:w="928"/>
      </w:tblGrid>
      <w:tr>
        <w:trPr>
          <w:cantSplit/>
          <w:tblHeader/>
        </w:trPr>
        <w:tc>
          <w:tcPr>
            <w:tcW w:type="dxa" w:w="1076"/>
            <w:shd w:val="clear" w:color="auto" w:fill="E8E8E8"/>
          </w:tcPr>
          <w:p>
            <w:pPr>
              <w:spacing w:after="0"/>
              <w:jc w:val="left"/>
            </w:pPr>
            <w:r>
              <w:rPr>
                <w:b/>
                <w:sz w:val="16"/>
              </w:rPr>
              <w:t>Declared</w:t>
            </w:r>
          </w:p>
        </w:tc>
        <w:tc>
          <w:tcPr>
            <w:tcW w:type="dxa" w:w="1076"/>
            <w:shd w:val="clear" w:color="auto" w:fill="E8E8E8"/>
          </w:tcPr>
          <w:p>
            <w:pPr>
              <w:spacing w:after="0"/>
              <w:jc w:val="left"/>
            </w:pPr>
            <w:r>
              <w:rPr>
                <w:b/>
                <w:sz w:val="16"/>
              </w:rPr>
              <w:t>Incident began</w:t>
            </w:r>
          </w:p>
        </w:tc>
        <w:tc>
          <w:tcPr>
            <w:tcW w:type="dxa" w:w="1076"/>
            <w:shd w:val="clear" w:color="auto" w:fill="E8E8E8"/>
          </w:tcPr>
          <w:p>
            <w:pPr>
              <w:spacing w:after="0"/>
              <w:jc w:val="left"/>
            </w:pPr>
            <w:r>
              <w:rPr>
                <w:b/>
                <w:sz w:val="16"/>
              </w:rPr>
              <w:t>FEMA number</w:t>
            </w:r>
          </w:p>
        </w:tc>
        <w:tc>
          <w:tcPr>
            <w:tcW w:type="dxa" w:w="1447"/>
            <w:shd w:val="clear" w:color="auto" w:fill="E8E8E8"/>
          </w:tcPr>
          <w:p>
            <w:pPr>
              <w:spacing w:after="0"/>
              <w:jc w:val="left"/>
            </w:pPr>
            <w:r>
              <w:rPr>
                <w:b/>
                <w:sz w:val="16"/>
              </w:rPr>
              <w:t>Type</w:t>
            </w:r>
          </w:p>
        </w:tc>
        <w:tc>
          <w:tcPr>
            <w:tcW w:type="dxa" w:w="3207"/>
            <w:shd w:val="clear" w:color="auto" w:fill="E8E8E8"/>
          </w:tcPr>
          <w:p>
            <w:pPr>
              <w:spacing w:after="0"/>
              <w:jc w:val="left"/>
            </w:pPr>
            <w:r>
              <w:rPr>
                <w:b/>
                <w:sz w:val="16"/>
              </w:rPr>
              <w:t>Title</w:t>
            </w:r>
          </w:p>
        </w:tc>
        <w:tc>
          <w:tcPr>
            <w:tcW w:type="dxa" w:w="2373"/>
            <w:shd w:val="clear" w:color="auto" w:fill="E8E8E8"/>
          </w:tcPr>
          <w:p>
            <w:pPr>
              <w:spacing w:after="0"/>
              <w:jc w:val="left"/>
            </w:pPr>
            <w:r>
              <w:rPr>
                <w:b/>
                <w:sz w:val="16"/>
              </w:rPr>
              <w:t>Mapped hazard</w:t>
            </w:r>
          </w:p>
        </w:tc>
        <w:tc>
          <w:tcPr>
            <w:tcW w:type="dxa" w:w="1484"/>
            <w:shd w:val="clear" w:color="auto" w:fill="E8E8E8"/>
          </w:tcPr>
          <w:p>
            <w:pPr>
              <w:spacing w:after="0"/>
              <w:jc w:val="right"/>
            </w:pPr>
            <w:r>
              <w:rPr>
                <w:b/>
                <w:sz w:val="16"/>
              </w:rPr>
              <w:t>County Public Assistance</w:t>
            </w:r>
          </w:p>
          <w:p>
            <w:pPr>
              <w:spacing w:after="0"/>
              <w:jc w:val="right"/>
            </w:pPr>
            <w:r>
              <w:rPr>
                <w:i/>
                <w:color w:val="555555"/>
                <w:sz w:val="14"/>
              </w:rPr>
              <w:t>federal share obligated, nominal dollars</w:t>
            </w:r>
          </w:p>
        </w:tc>
        <w:tc>
          <w:tcPr>
            <w:tcW w:type="dxa" w:w="1447"/>
            <w:shd w:val="clear" w:color="auto" w:fill="E8E8E8"/>
          </w:tcPr>
          <w:p>
            <w:pPr>
              <w:spacing w:after="0"/>
              <w:jc w:val="left"/>
            </w:pPr>
            <w:r>
              <w:rPr>
                <w:b/>
                <w:sz w:val="16"/>
              </w:rPr>
              <w:t>Flags</w:t>
            </w:r>
          </w:p>
        </w:tc>
        <w:tc>
          <w:tcPr>
            <w:tcW w:type="dxa" w:w="928"/>
            <w:shd w:val="clear" w:color="auto" w:fill="E8E8E8"/>
          </w:tcPr>
          <w:p>
            <w:pPr>
              <w:spacing w:after="0"/>
              <w:jc w:val="left"/>
            </w:pPr>
            <w:r>
              <w:rPr>
                <w:b/>
                <w:sz w:val="16"/>
              </w:rPr>
              <w:t>Notes</w:t>
            </w:r>
          </w:p>
        </w:tc>
      </w:tr>
      <w:tr>
        <w:trPr>
          <w:cantSplit/>
        </w:trPr>
        <w:tc>
          <w:tcPr>
            <w:tcW w:type="dxa" w:w="1076"/>
          </w:tcPr>
          <w:p>
            <w:pPr>
              <w:spacing w:after="0"/>
              <w:jc w:val="left"/>
            </w:pPr>
            <w:r>
              <w:rPr>
                <w:sz w:val="16"/>
              </w:rPr>
              <w:t>2026-01-24</w:t>
            </w:r>
          </w:p>
        </w:tc>
        <w:tc>
          <w:tcPr>
            <w:tcW w:type="dxa" w:w="1076"/>
          </w:tcPr>
          <w:p>
            <w:pPr>
              <w:spacing w:after="0"/>
              <w:jc w:val="left"/>
            </w:pPr>
            <w:r>
              <w:rPr>
                <w:sz w:val="16"/>
              </w:rPr>
              <w:t>2026-01-23</w:t>
            </w:r>
          </w:p>
        </w:tc>
        <w:tc>
          <w:tcPr>
            <w:tcW w:type="dxa" w:w="1076"/>
          </w:tcPr>
          <w:p>
            <w:pPr>
              <w:spacing w:after="0"/>
              <w:jc w:val="left"/>
            </w:pPr>
            <w:r>
              <w:rPr>
                <w:sz w:val="16"/>
              </w:rPr>
              <w:t>EM-3641-IN</w:t>
            </w:r>
          </w:p>
        </w:tc>
        <w:tc>
          <w:tcPr>
            <w:tcW w:type="dxa" w:w="1447"/>
          </w:tcPr>
          <w:p>
            <w:pPr>
              <w:spacing w:after="0"/>
              <w:jc w:val="left"/>
            </w:pPr>
            <w:r>
              <w:rPr>
                <w:sz w:val="16"/>
              </w:rPr>
              <w:t>Emergency</w:t>
            </w:r>
          </w:p>
        </w:tc>
        <w:tc>
          <w:tcPr>
            <w:tcW w:type="dxa" w:w="3207"/>
          </w:tcPr>
          <w:p>
            <w:pPr>
              <w:spacing w:after="0"/>
              <w:jc w:val="left"/>
            </w:pPr>
            <w:r>
              <w:rPr>
                <w:sz w:val="16"/>
              </w:rPr>
              <w:t>SEVERE WINTER STORM</w:t>
            </w:r>
          </w:p>
        </w:tc>
        <w:tc>
          <w:tcPr>
            <w:tcW w:type="dxa" w:w="2373"/>
          </w:tcPr>
          <w:p>
            <w:pPr>
              <w:spacing w:after="0"/>
              <w:jc w:val="left"/>
            </w:pPr>
            <w:r>
              <w:rPr>
                <w:sz w:val="16"/>
              </w:rPr>
              <w:t>Winter Weather</w:t>
            </w:r>
          </w:p>
        </w:tc>
        <w:tc>
          <w:tcPr>
            <w:tcW w:type="dxa" w:w="1484"/>
          </w:tcPr>
          <w:p>
            <w:pPr>
              <w:spacing w:after="0"/>
              <w:jc w:val="right"/>
            </w:pPr>
            <w:r>
              <w:rPr>
                <w:sz w:val="16"/>
              </w:rPr>
              <w:t>none found</w:t>
            </w:r>
          </w:p>
        </w:tc>
        <w:tc>
          <w:tcPr>
            <w:tcW w:type="dxa" w:w="1447"/>
          </w:tcPr>
          <w:p>
            <w:pPr>
              <w:spacing w:after="0"/>
              <w:jc w:val="left"/>
            </w:pPr>
            <w:r>
              <w:rPr>
                <w:sz w:val="16"/>
              </w:rPr>
              <w:t>new since last plan; within last 5 years</w:t>
            </w:r>
          </w:p>
        </w:tc>
        <w:tc>
          <w:tcPr>
            <w:tcW w:type="dxa" w:w="928"/>
          </w:tcPr>
          <w:p>
            <w:pPr>
              <w:spacing w:after="0"/>
              <w:jc w:val="left"/>
            </w:pPr>
          </w:p>
        </w:tc>
      </w:tr>
      <w:tr>
        <w:trPr>
          <w:cantSplit/>
        </w:trPr>
        <w:tc>
          <w:tcPr>
            <w:tcW w:type="dxa" w:w="1076"/>
          </w:tcPr>
          <w:p>
            <w:pPr>
              <w:spacing w:after="0"/>
              <w:jc w:val="left"/>
            </w:pPr>
            <w:r>
              <w:rPr>
                <w:sz w:val="16"/>
              </w:rPr>
              <w:t>2025-07-22</w:t>
            </w:r>
          </w:p>
        </w:tc>
        <w:tc>
          <w:tcPr>
            <w:tcW w:type="dxa" w:w="1076"/>
          </w:tcPr>
          <w:p>
            <w:pPr>
              <w:spacing w:after="0"/>
              <w:jc w:val="left"/>
            </w:pPr>
            <w:r>
              <w:rPr>
                <w:sz w:val="16"/>
              </w:rPr>
              <w:t>2025-03-30</w:t>
            </w:r>
          </w:p>
        </w:tc>
        <w:tc>
          <w:tcPr>
            <w:tcW w:type="dxa" w:w="1076"/>
          </w:tcPr>
          <w:p>
            <w:pPr>
              <w:spacing w:after="0"/>
              <w:jc w:val="left"/>
            </w:pPr>
            <w:r>
              <w:rPr>
                <w:sz w:val="16"/>
              </w:rPr>
              <w:t>DR-4882-IN</w:t>
            </w:r>
          </w:p>
        </w:tc>
        <w:tc>
          <w:tcPr>
            <w:tcW w:type="dxa" w:w="1447"/>
          </w:tcPr>
          <w:p>
            <w:pPr>
              <w:spacing w:after="0"/>
              <w:jc w:val="left"/>
            </w:pPr>
            <w:r>
              <w:rPr>
                <w:sz w:val="16"/>
              </w:rPr>
              <w:t>Major disaster</w:t>
            </w:r>
          </w:p>
        </w:tc>
        <w:tc>
          <w:tcPr>
            <w:tcW w:type="dxa" w:w="3207"/>
          </w:tcPr>
          <w:p>
            <w:pPr>
              <w:spacing w:after="0"/>
              <w:jc w:val="left"/>
            </w:pPr>
            <w:r>
              <w:rPr>
                <w:sz w:val="16"/>
              </w:rPr>
              <w:t>SEVERE STORMS, STRAIGHT-LINE WINDS, TORNADOES, AND FLOODING</w:t>
            </w:r>
          </w:p>
        </w:tc>
        <w:tc>
          <w:tcPr>
            <w:tcW w:type="dxa" w:w="2373"/>
          </w:tcPr>
          <w:p>
            <w:pPr>
              <w:spacing w:after="0"/>
              <w:jc w:val="left"/>
            </w:pPr>
            <w:r>
              <w:rPr>
                <w:sz w:val="16"/>
              </w:rPr>
              <w:t>Inland Flooding (primary); also designated: Strong Wind, Tornado</w:t>
            </w:r>
          </w:p>
        </w:tc>
        <w:tc>
          <w:tcPr>
            <w:tcW w:type="dxa" w:w="1484"/>
          </w:tcPr>
          <w:p>
            <w:pPr>
              <w:spacing w:after="0"/>
              <w:jc w:val="right"/>
            </w:pPr>
            <w:r>
              <w:rPr>
                <w:sz w:val="16"/>
              </w:rPr>
              <w:t>$675,528.68</w:t>
            </w:r>
          </w:p>
        </w:tc>
        <w:tc>
          <w:tcPr>
            <w:tcW w:type="dxa" w:w="1447"/>
          </w:tcPr>
          <w:p>
            <w:pPr>
              <w:spacing w:after="0"/>
              <w:jc w:val="left"/>
            </w:pPr>
            <w:r>
              <w:rPr>
                <w:sz w:val="16"/>
              </w:rPr>
              <w:t>new since last plan; within last 5 years</w:t>
            </w:r>
          </w:p>
        </w:tc>
        <w:tc>
          <w:tcPr>
            <w:tcW w:type="dxa" w:w="928"/>
          </w:tcPr>
          <w:p>
            <w:pPr>
              <w:spacing w:after="0"/>
              <w:jc w:val="left"/>
            </w:pPr>
          </w:p>
        </w:tc>
      </w:tr>
      <w:tr>
        <w:trPr>
          <w:cantSplit/>
        </w:trPr>
        <w:tc>
          <w:tcPr>
            <w:tcW w:type="dxa" w:w="1076"/>
          </w:tcPr>
          <w:p>
            <w:pPr>
              <w:spacing w:after="0"/>
              <w:jc w:val="left"/>
            </w:pPr>
            <w:r>
              <w:rPr>
                <w:sz w:val="16"/>
              </w:rPr>
              <w:t>2020-04-03</w:t>
            </w:r>
          </w:p>
        </w:tc>
        <w:tc>
          <w:tcPr>
            <w:tcW w:type="dxa" w:w="1076"/>
          </w:tcPr>
          <w:p>
            <w:pPr>
              <w:spacing w:after="0"/>
              <w:jc w:val="left"/>
            </w:pPr>
            <w:r>
              <w:rPr>
                <w:sz w:val="16"/>
              </w:rPr>
              <w:t>2020-01-20</w:t>
            </w:r>
          </w:p>
        </w:tc>
        <w:tc>
          <w:tcPr>
            <w:tcW w:type="dxa" w:w="1076"/>
          </w:tcPr>
          <w:p>
            <w:pPr>
              <w:spacing w:after="0"/>
              <w:jc w:val="left"/>
            </w:pPr>
            <w:r>
              <w:rPr>
                <w:sz w:val="16"/>
              </w:rPr>
              <w:t>DR-4515-IN</w:t>
            </w:r>
          </w:p>
        </w:tc>
        <w:tc>
          <w:tcPr>
            <w:tcW w:type="dxa" w:w="1447"/>
          </w:tcPr>
          <w:p>
            <w:pPr>
              <w:spacing w:after="0"/>
              <w:jc w:val="left"/>
            </w:pPr>
            <w:r>
              <w:rPr>
                <w:sz w:val="16"/>
              </w:rPr>
              <w:t>Major disaster</w:t>
            </w:r>
          </w:p>
        </w:tc>
        <w:tc>
          <w:tcPr>
            <w:tcW w:type="dxa" w:w="3207"/>
          </w:tcPr>
          <w:p>
            <w:pPr>
              <w:spacing w:after="0"/>
              <w:jc w:val="left"/>
            </w:pPr>
            <w:r>
              <w:rPr>
                <w:sz w:val="16"/>
              </w:rPr>
              <w:t>COVID-19 PANDEMIC</w:t>
            </w:r>
          </w:p>
        </w:tc>
        <w:tc>
          <w:tcPr>
            <w:tcW w:type="dxa" w:w="2373"/>
          </w:tcPr>
          <w:p>
            <w:pPr>
              <w:spacing w:after="0"/>
              <w:jc w:val="left"/>
            </w:pPr>
            <w:r>
              <w:rPr>
                <w:sz w:val="16"/>
              </w:rPr>
              <w:t>Non-natural, not counted</w:t>
            </w:r>
          </w:p>
        </w:tc>
        <w:tc>
          <w:tcPr>
            <w:tcW w:type="dxa" w:w="1484"/>
          </w:tcPr>
          <w:p>
            <w:pPr>
              <w:spacing w:after="0"/>
              <w:jc w:val="right"/>
            </w:pPr>
            <w:r>
              <w:rPr>
                <w:sz w:val="16"/>
              </w:rPr>
              <w:t>$119,224.65</w:t>
            </w:r>
          </w:p>
        </w:tc>
        <w:tc>
          <w:tcPr>
            <w:tcW w:type="dxa" w:w="1447"/>
          </w:tcPr>
          <w:p>
            <w:pPr>
              <w:spacing w:after="0"/>
              <w:jc w:val="left"/>
            </w:pPr>
          </w:p>
        </w:tc>
        <w:tc>
          <w:tcPr>
            <w:tcW w:type="dxa" w:w="928"/>
          </w:tcPr>
          <w:p>
            <w:pPr>
              <w:spacing w:after="0"/>
              <w:jc w:val="left"/>
            </w:pPr>
          </w:p>
        </w:tc>
      </w:tr>
      <w:tr>
        <w:trPr>
          <w:cantSplit/>
        </w:trPr>
        <w:tc>
          <w:tcPr>
            <w:tcW w:type="dxa" w:w="1076"/>
          </w:tcPr>
          <w:p>
            <w:pPr>
              <w:spacing w:after="0"/>
              <w:jc w:val="left"/>
            </w:pPr>
            <w:r>
              <w:rPr>
                <w:sz w:val="16"/>
              </w:rPr>
              <w:t>2020-03-13</w:t>
            </w:r>
          </w:p>
        </w:tc>
        <w:tc>
          <w:tcPr>
            <w:tcW w:type="dxa" w:w="1076"/>
          </w:tcPr>
          <w:p>
            <w:pPr>
              <w:spacing w:after="0"/>
              <w:jc w:val="left"/>
            </w:pPr>
            <w:r>
              <w:rPr>
                <w:sz w:val="16"/>
              </w:rPr>
              <w:t>2020-01-20</w:t>
            </w:r>
          </w:p>
        </w:tc>
        <w:tc>
          <w:tcPr>
            <w:tcW w:type="dxa" w:w="1076"/>
          </w:tcPr>
          <w:p>
            <w:pPr>
              <w:spacing w:after="0"/>
              <w:jc w:val="left"/>
            </w:pPr>
            <w:r>
              <w:rPr>
                <w:sz w:val="16"/>
              </w:rPr>
              <w:t>EM-3456-IN</w:t>
            </w:r>
          </w:p>
        </w:tc>
        <w:tc>
          <w:tcPr>
            <w:tcW w:type="dxa" w:w="1447"/>
          </w:tcPr>
          <w:p>
            <w:pPr>
              <w:spacing w:after="0"/>
              <w:jc w:val="left"/>
            </w:pPr>
            <w:r>
              <w:rPr>
                <w:sz w:val="16"/>
              </w:rPr>
              <w:t>Emergency</w:t>
            </w:r>
          </w:p>
        </w:tc>
        <w:tc>
          <w:tcPr>
            <w:tcW w:type="dxa" w:w="3207"/>
          </w:tcPr>
          <w:p>
            <w:pPr>
              <w:spacing w:after="0"/>
              <w:jc w:val="left"/>
            </w:pPr>
            <w:r>
              <w:rPr>
                <w:sz w:val="16"/>
              </w:rPr>
              <w:t>COVID-19</w:t>
            </w:r>
          </w:p>
        </w:tc>
        <w:tc>
          <w:tcPr>
            <w:tcW w:type="dxa" w:w="2373"/>
          </w:tcPr>
          <w:p>
            <w:pPr>
              <w:spacing w:after="0"/>
              <w:jc w:val="left"/>
            </w:pPr>
            <w:r>
              <w:rPr>
                <w:sz w:val="16"/>
              </w:rPr>
              <w:t>Non-natural, not counted</w:t>
            </w:r>
          </w:p>
        </w:tc>
        <w:tc>
          <w:tcPr>
            <w:tcW w:type="dxa" w:w="1484"/>
          </w:tcPr>
          <w:p>
            <w:pPr>
              <w:spacing w:after="0"/>
              <w:jc w:val="right"/>
            </w:pPr>
            <w:r>
              <w:rPr>
                <w:sz w:val="16"/>
              </w:rPr>
              <w:t>none found</w:t>
            </w:r>
          </w:p>
        </w:tc>
        <w:tc>
          <w:tcPr>
            <w:tcW w:type="dxa" w:w="1447"/>
          </w:tcPr>
          <w:p>
            <w:pPr>
              <w:spacing w:after="0"/>
              <w:jc w:val="left"/>
            </w:pPr>
          </w:p>
        </w:tc>
        <w:tc>
          <w:tcPr>
            <w:tcW w:type="dxa" w:w="928"/>
          </w:tcPr>
          <w:p>
            <w:pPr>
              <w:spacing w:after="0"/>
              <w:jc w:val="left"/>
            </w:pPr>
            <w:r>
              <w:rPr>
                <w:sz w:val="16"/>
              </w:rPr>
              <w:t>same incident as DR-4515</w:t>
            </w:r>
          </w:p>
        </w:tc>
      </w:tr>
      <w:tr>
        <w:trPr>
          <w:cantSplit/>
        </w:trPr>
        <w:tc>
          <w:tcPr>
            <w:tcW w:type="dxa" w:w="1076"/>
          </w:tcPr>
          <w:p>
            <w:pPr>
              <w:spacing w:after="0"/>
              <w:jc w:val="left"/>
            </w:pPr>
            <w:r>
              <w:rPr>
                <w:sz w:val="16"/>
              </w:rPr>
              <w:t>2018-05-04</w:t>
            </w:r>
          </w:p>
        </w:tc>
        <w:tc>
          <w:tcPr>
            <w:tcW w:type="dxa" w:w="1076"/>
          </w:tcPr>
          <w:p>
            <w:pPr>
              <w:spacing w:after="0"/>
              <w:jc w:val="left"/>
            </w:pPr>
            <w:r>
              <w:rPr>
                <w:sz w:val="16"/>
              </w:rPr>
              <w:t>2018-02-14</w:t>
            </w:r>
          </w:p>
        </w:tc>
        <w:tc>
          <w:tcPr>
            <w:tcW w:type="dxa" w:w="1076"/>
          </w:tcPr>
          <w:p>
            <w:pPr>
              <w:spacing w:after="0"/>
              <w:jc w:val="left"/>
            </w:pPr>
            <w:r>
              <w:rPr>
                <w:sz w:val="16"/>
              </w:rPr>
              <w:t>DR-4363-IN</w:t>
            </w:r>
          </w:p>
        </w:tc>
        <w:tc>
          <w:tcPr>
            <w:tcW w:type="dxa" w:w="1447"/>
          </w:tcPr>
          <w:p>
            <w:pPr>
              <w:spacing w:after="0"/>
              <w:jc w:val="left"/>
            </w:pPr>
            <w:r>
              <w:rPr>
                <w:sz w:val="16"/>
              </w:rPr>
              <w:t>Major disaster</w:t>
            </w:r>
          </w:p>
        </w:tc>
        <w:tc>
          <w:tcPr>
            <w:tcW w:type="dxa" w:w="3207"/>
          </w:tcPr>
          <w:p>
            <w:pPr>
              <w:spacing w:after="0"/>
              <w:jc w:val="left"/>
            </w:pPr>
            <w:r>
              <w:rPr>
                <w:sz w:val="16"/>
              </w:rPr>
              <w:t>SEVERE STORMS AND FLOODING</w:t>
            </w:r>
          </w:p>
        </w:tc>
        <w:tc>
          <w:tcPr>
            <w:tcW w:type="dxa" w:w="2373"/>
          </w:tcPr>
          <w:p>
            <w:pPr>
              <w:spacing w:after="0"/>
              <w:jc w:val="left"/>
            </w:pPr>
            <w:r>
              <w:rPr>
                <w:sz w:val="16"/>
              </w:rPr>
              <w:t>Inland Flooding</w:t>
            </w:r>
          </w:p>
        </w:tc>
        <w:tc>
          <w:tcPr>
            <w:tcW w:type="dxa" w:w="1484"/>
          </w:tcPr>
          <w:p>
            <w:pPr>
              <w:spacing w:after="0"/>
              <w:jc w:val="right"/>
            </w:pPr>
            <w:r>
              <w:rPr>
                <w:sz w:val="16"/>
              </w:rPr>
              <w:t>$439,957.38</w:t>
            </w:r>
          </w:p>
        </w:tc>
        <w:tc>
          <w:tcPr>
            <w:tcW w:type="dxa" w:w="1447"/>
          </w:tcPr>
          <w:p>
            <w:pPr>
              <w:spacing w:after="0"/>
              <w:jc w:val="left"/>
            </w:pPr>
          </w:p>
        </w:tc>
        <w:tc>
          <w:tcPr>
            <w:tcW w:type="dxa" w:w="928"/>
          </w:tcPr>
          <w:p>
            <w:pPr>
              <w:spacing w:after="0"/>
              <w:jc w:val="left"/>
            </w:pPr>
          </w:p>
        </w:tc>
      </w:tr>
      <w:tr>
        <w:trPr>
          <w:cantSplit/>
        </w:trPr>
        <w:tc>
          <w:tcPr>
            <w:tcW w:type="dxa" w:w="1076"/>
          </w:tcPr>
          <w:p>
            <w:pPr>
              <w:spacing w:after="0"/>
              <w:jc w:val="left"/>
            </w:pPr>
            <w:r>
              <w:rPr>
                <w:sz w:val="16"/>
              </w:rPr>
              <w:t>2012-03-09</w:t>
            </w:r>
          </w:p>
        </w:tc>
        <w:tc>
          <w:tcPr>
            <w:tcW w:type="dxa" w:w="1076"/>
          </w:tcPr>
          <w:p>
            <w:pPr>
              <w:spacing w:after="0"/>
              <w:jc w:val="left"/>
            </w:pPr>
            <w:r>
              <w:rPr>
                <w:sz w:val="16"/>
              </w:rPr>
              <w:t>2012-02-29</w:t>
            </w:r>
          </w:p>
        </w:tc>
        <w:tc>
          <w:tcPr>
            <w:tcW w:type="dxa" w:w="1076"/>
          </w:tcPr>
          <w:p>
            <w:pPr>
              <w:spacing w:after="0"/>
              <w:jc w:val="left"/>
            </w:pPr>
            <w:r>
              <w:rPr>
                <w:sz w:val="16"/>
              </w:rPr>
              <w:t>DR-4058-IN</w:t>
            </w:r>
          </w:p>
        </w:tc>
        <w:tc>
          <w:tcPr>
            <w:tcW w:type="dxa" w:w="1447"/>
          </w:tcPr>
          <w:p>
            <w:pPr>
              <w:spacing w:after="0"/>
              <w:jc w:val="left"/>
            </w:pPr>
            <w:r>
              <w:rPr>
                <w:sz w:val="16"/>
              </w:rPr>
              <w:t>Major disaster</w:t>
            </w:r>
          </w:p>
        </w:tc>
        <w:tc>
          <w:tcPr>
            <w:tcW w:type="dxa" w:w="3207"/>
          </w:tcPr>
          <w:p>
            <w:pPr>
              <w:spacing w:after="0"/>
              <w:jc w:val="left"/>
            </w:pPr>
            <w:r>
              <w:rPr>
                <w:sz w:val="16"/>
              </w:rPr>
              <w:t>SEVERE STORMS, STRAIGHT-LINE WINDS, AND TORNADOES</w:t>
            </w:r>
          </w:p>
        </w:tc>
        <w:tc>
          <w:tcPr>
            <w:tcW w:type="dxa" w:w="2373"/>
          </w:tcPr>
          <w:p>
            <w:pPr>
              <w:spacing w:after="0"/>
              <w:jc w:val="left"/>
            </w:pPr>
            <w:r>
              <w:rPr>
                <w:sz w:val="16"/>
              </w:rPr>
              <w:t>Strong Wind; Tornado</w:t>
            </w:r>
          </w:p>
        </w:tc>
        <w:tc>
          <w:tcPr>
            <w:tcW w:type="dxa" w:w="1484"/>
          </w:tcPr>
          <w:p>
            <w:pPr>
              <w:spacing w:after="0"/>
              <w:jc w:val="right"/>
            </w:pPr>
            <w:r>
              <w:rPr>
                <w:sz w:val="16"/>
              </w:rPr>
              <w:t>PA not declared for this county</w:t>
            </w:r>
          </w:p>
        </w:tc>
        <w:tc>
          <w:tcPr>
            <w:tcW w:type="dxa" w:w="1447"/>
          </w:tcPr>
          <w:p>
            <w:pPr>
              <w:spacing w:after="0"/>
              <w:jc w:val="left"/>
            </w:pPr>
          </w:p>
        </w:tc>
        <w:tc>
          <w:tcPr>
            <w:tcW w:type="dxa" w:w="928"/>
          </w:tcPr>
          <w:p>
            <w:pPr>
              <w:spacing w:after="0"/>
              <w:jc w:val="left"/>
            </w:pPr>
          </w:p>
        </w:tc>
      </w:tr>
      <w:tr>
        <w:trPr>
          <w:cantSplit/>
        </w:trPr>
        <w:tc>
          <w:tcPr>
            <w:tcW w:type="dxa" w:w="1076"/>
          </w:tcPr>
          <w:p>
            <w:pPr>
              <w:spacing w:after="0"/>
              <w:jc w:val="left"/>
            </w:pPr>
            <w:r>
              <w:rPr>
                <w:sz w:val="16"/>
              </w:rPr>
              <w:t>2011-06-23</w:t>
            </w:r>
          </w:p>
        </w:tc>
        <w:tc>
          <w:tcPr>
            <w:tcW w:type="dxa" w:w="1076"/>
          </w:tcPr>
          <w:p>
            <w:pPr>
              <w:spacing w:after="0"/>
              <w:jc w:val="left"/>
            </w:pPr>
            <w:r>
              <w:rPr>
                <w:sz w:val="16"/>
              </w:rPr>
              <w:t>2011-04-19</w:t>
            </w:r>
          </w:p>
        </w:tc>
        <w:tc>
          <w:tcPr>
            <w:tcW w:type="dxa" w:w="1076"/>
          </w:tcPr>
          <w:p>
            <w:pPr>
              <w:spacing w:after="0"/>
              <w:jc w:val="left"/>
            </w:pPr>
            <w:r>
              <w:rPr>
                <w:sz w:val="16"/>
              </w:rPr>
              <w:t>DR-1997-IN</w:t>
            </w:r>
          </w:p>
        </w:tc>
        <w:tc>
          <w:tcPr>
            <w:tcW w:type="dxa" w:w="1447"/>
          </w:tcPr>
          <w:p>
            <w:pPr>
              <w:spacing w:after="0"/>
              <w:jc w:val="left"/>
            </w:pPr>
            <w:r>
              <w:rPr>
                <w:sz w:val="16"/>
              </w:rPr>
              <w:t>Major disaster</w:t>
            </w:r>
          </w:p>
        </w:tc>
        <w:tc>
          <w:tcPr>
            <w:tcW w:type="dxa" w:w="3207"/>
          </w:tcPr>
          <w:p>
            <w:pPr>
              <w:spacing w:after="0"/>
              <w:jc w:val="left"/>
            </w:pPr>
            <w:r>
              <w:rPr>
                <w:sz w:val="16"/>
              </w:rPr>
              <w:t>SEVERE STORMS, TORNADOES, STRAIGHT-LINE WINDS, AND</w:t>
            </w:r>
          </w:p>
        </w:tc>
        <w:tc>
          <w:tcPr>
            <w:tcW w:type="dxa" w:w="2373"/>
          </w:tcPr>
          <w:p>
            <w:pPr>
              <w:spacing w:after="0"/>
              <w:jc w:val="left"/>
            </w:pPr>
            <w:r>
              <w:rPr>
                <w:sz w:val="16"/>
              </w:rPr>
              <w:t>Strong Wind; Tornado</w:t>
            </w:r>
          </w:p>
        </w:tc>
        <w:tc>
          <w:tcPr>
            <w:tcW w:type="dxa" w:w="1484"/>
          </w:tcPr>
          <w:p>
            <w:pPr>
              <w:spacing w:after="0"/>
              <w:jc w:val="right"/>
            </w:pPr>
            <w:r>
              <w:rPr>
                <w:sz w:val="16"/>
              </w:rPr>
              <w:t>$650,884.89</w:t>
            </w:r>
          </w:p>
        </w:tc>
        <w:tc>
          <w:tcPr>
            <w:tcW w:type="dxa" w:w="1447"/>
          </w:tcPr>
          <w:p>
            <w:pPr>
              <w:spacing w:after="0"/>
              <w:jc w:val="left"/>
            </w:pPr>
          </w:p>
        </w:tc>
        <w:tc>
          <w:tcPr>
            <w:tcW w:type="dxa" w:w="928"/>
          </w:tcPr>
          <w:p>
            <w:pPr>
              <w:spacing w:after="0"/>
              <w:jc w:val="left"/>
            </w:pPr>
          </w:p>
        </w:tc>
      </w:tr>
      <w:tr>
        <w:trPr>
          <w:cantSplit/>
        </w:trPr>
        <w:tc>
          <w:tcPr>
            <w:tcW w:type="dxa" w:w="1076"/>
          </w:tcPr>
          <w:p>
            <w:pPr>
              <w:spacing w:after="0"/>
              <w:jc w:val="left"/>
            </w:pPr>
            <w:r>
              <w:rPr>
                <w:sz w:val="16"/>
              </w:rPr>
              <w:t>2009-03-05</w:t>
            </w:r>
          </w:p>
        </w:tc>
        <w:tc>
          <w:tcPr>
            <w:tcW w:type="dxa" w:w="1076"/>
          </w:tcPr>
          <w:p>
            <w:pPr>
              <w:spacing w:after="0"/>
              <w:jc w:val="left"/>
            </w:pPr>
            <w:r>
              <w:rPr>
                <w:sz w:val="16"/>
              </w:rPr>
              <w:t>2009-01-26</w:t>
            </w:r>
          </w:p>
        </w:tc>
        <w:tc>
          <w:tcPr>
            <w:tcW w:type="dxa" w:w="1076"/>
          </w:tcPr>
          <w:p>
            <w:pPr>
              <w:spacing w:after="0"/>
              <w:jc w:val="left"/>
            </w:pPr>
            <w:r>
              <w:rPr>
                <w:sz w:val="16"/>
              </w:rPr>
              <w:t>DR-1828-IN</w:t>
            </w:r>
          </w:p>
        </w:tc>
        <w:tc>
          <w:tcPr>
            <w:tcW w:type="dxa" w:w="1447"/>
          </w:tcPr>
          <w:p>
            <w:pPr>
              <w:spacing w:after="0"/>
              <w:jc w:val="left"/>
            </w:pPr>
            <w:r>
              <w:rPr>
                <w:sz w:val="16"/>
              </w:rPr>
              <w:t>Major disaster</w:t>
            </w:r>
          </w:p>
        </w:tc>
        <w:tc>
          <w:tcPr>
            <w:tcW w:type="dxa" w:w="3207"/>
          </w:tcPr>
          <w:p>
            <w:pPr>
              <w:spacing w:after="0"/>
              <w:jc w:val="left"/>
            </w:pPr>
            <w:r>
              <w:rPr>
                <w:sz w:val="16"/>
              </w:rPr>
              <w:t>SEVERE WINTER STORM</w:t>
            </w:r>
          </w:p>
        </w:tc>
        <w:tc>
          <w:tcPr>
            <w:tcW w:type="dxa" w:w="2373"/>
          </w:tcPr>
          <w:p>
            <w:pPr>
              <w:spacing w:after="0"/>
              <w:jc w:val="left"/>
            </w:pPr>
            <w:r>
              <w:rPr>
                <w:sz w:val="16"/>
              </w:rPr>
              <w:t>Winter Weather</w:t>
            </w:r>
          </w:p>
        </w:tc>
        <w:tc>
          <w:tcPr>
            <w:tcW w:type="dxa" w:w="1484"/>
          </w:tcPr>
          <w:p>
            <w:pPr>
              <w:spacing w:after="0"/>
              <w:jc w:val="right"/>
            </w:pPr>
            <w:r>
              <w:rPr>
                <w:sz w:val="16"/>
              </w:rPr>
              <w:t>$1,419,624.64</w:t>
            </w:r>
          </w:p>
        </w:tc>
        <w:tc>
          <w:tcPr>
            <w:tcW w:type="dxa" w:w="1447"/>
          </w:tcPr>
          <w:p>
            <w:pPr>
              <w:spacing w:after="0"/>
              <w:jc w:val="left"/>
            </w:pPr>
          </w:p>
        </w:tc>
        <w:tc>
          <w:tcPr>
            <w:tcW w:type="dxa" w:w="928"/>
          </w:tcPr>
          <w:p>
            <w:pPr>
              <w:spacing w:after="0"/>
              <w:jc w:val="left"/>
            </w:pPr>
          </w:p>
        </w:tc>
      </w:tr>
      <w:tr>
        <w:trPr>
          <w:cantSplit/>
        </w:trPr>
        <w:tc>
          <w:tcPr>
            <w:tcW w:type="dxa" w:w="1076"/>
          </w:tcPr>
          <w:p>
            <w:pPr>
              <w:spacing w:after="0"/>
              <w:jc w:val="left"/>
            </w:pPr>
            <w:r>
              <w:rPr>
                <w:sz w:val="16"/>
              </w:rPr>
              <w:t>2008-09-23</w:t>
            </w:r>
          </w:p>
        </w:tc>
        <w:tc>
          <w:tcPr>
            <w:tcW w:type="dxa" w:w="1076"/>
          </w:tcPr>
          <w:p>
            <w:pPr>
              <w:spacing w:after="0"/>
              <w:jc w:val="left"/>
            </w:pPr>
            <w:r>
              <w:rPr>
                <w:sz w:val="16"/>
              </w:rPr>
              <w:t>2008-09-12</w:t>
            </w:r>
          </w:p>
        </w:tc>
        <w:tc>
          <w:tcPr>
            <w:tcW w:type="dxa" w:w="1076"/>
          </w:tcPr>
          <w:p>
            <w:pPr>
              <w:spacing w:after="0"/>
              <w:jc w:val="left"/>
            </w:pPr>
            <w:r>
              <w:rPr>
                <w:sz w:val="16"/>
              </w:rPr>
              <w:t>DR-1795-IN</w:t>
            </w:r>
          </w:p>
        </w:tc>
        <w:tc>
          <w:tcPr>
            <w:tcW w:type="dxa" w:w="1447"/>
          </w:tcPr>
          <w:p>
            <w:pPr>
              <w:spacing w:after="0"/>
              <w:jc w:val="left"/>
            </w:pPr>
            <w:r>
              <w:rPr>
                <w:sz w:val="16"/>
              </w:rPr>
              <w:t>Major disaster</w:t>
            </w:r>
          </w:p>
        </w:tc>
        <w:tc>
          <w:tcPr>
            <w:tcW w:type="dxa" w:w="3207"/>
          </w:tcPr>
          <w:p>
            <w:pPr>
              <w:spacing w:after="0"/>
              <w:jc w:val="left"/>
            </w:pPr>
            <w:r>
              <w:rPr>
                <w:sz w:val="16"/>
              </w:rPr>
              <w:t>SEVERE STORMS AND FLOODING</w:t>
            </w:r>
          </w:p>
        </w:tc>
        <w:tc>
          <w:tcPr>
            <w:tcW w:type="dxa" w:w="2373"/>
          </w:tcPr>
          <w:p>
            <w:pPr>
              <w:spacing w:after="0"/>
              <w:jc w:val="left"/>
            </w:pPr>
            <w:r>
              <w:rPr>
                <w:sz w:val="16"/>
              </w:rPr>
              <w:t>Inland Flooding</w:t>
            </w:r>
          </w:p>
        </w:tc>
        <w:tc>
          <w:tcPr>
            <w:tcW w:type="dxa" w:w="1484"/>
          </w:tcPr>
          <w:p>
            <w:pPr>
              <w:spacing w:after="0"/>
              <w:jc w:val="right"/>
            </w:pPr>
            <w:r>
              <w:rPr>
                <w:sz w:val="16"/>
              </w:rPr>
              <w:t>$391,178.29</w:t>
            </w:r>
          </w:p>
        </w:tc>
        <w:tc>
          <w:tcPr>
            <w:tcW w:type="dxa" w:w="1447"/>
          </w:tcPr>
          <w:p>
            <w:pPr>
              <w:spacing w:after="0"/>
              <w:jc w:val="left"/>
            </w:pPr>
          </w:p>
        </w:tc>
        <w:tc>
          <w:tcPr>
            <w:tcW w:type="dxa" w:w="928"/>
          </w:tcPr>
          <w:p>
            <w:pPr>
              <w:spacing w:after="0"/>
              <w:jc w:val="left"/>
            </w:pPr>
          </w:p>
        </w:tc>
      </w:tr>
      <w:tr>
        <w:trPr>
          <w:cantSplit/>
        </w:trPr>
        <w:tc>
          <w:tcPr>
            <w:tcW w:type="dxa" w:w="1076"/>
          </w:tcPr>
          <w:p>
            <w:pPr>
              <w:spacing w:after="0"/>
              <w:jc w:val="left"/>
            </w:pPr>
            <w:r>
              <w:rPr>
                <w:sz w:val="16"/>
              </w:rPr>
              <w:t>2006-10-06</w:t>
            </w:r>
          </w:p>
        </w:tc>
        <w:tc>
          <w:tcPr>
            <w:tcW w:type="dxa" w:w="1076"/>
          </w:tcPr>
          <w:p>
            <w:pPr>
              <w:spacing w:after="0"/>
              <w:jc w:val="left"/>
            </w:pPr>
            <w:r>
              <w:rPr>
                <w:sz w:val="16"/>
              </w:rPr>
              <w:t>2006-09-12</w:t>
            </w:r>
          </w:p>
        </w:tc>
        <w:tc>
          <w:tcPr>
            <w:tcW w:type="dxa" w:w="1076"/>
          </w:tcPr>
          <w:p>
            <w:pPr>
              <w:spacing w:after="0"/>
              <w:jc w:val="left"/>
            </w:pPr>
            <w:r>
              <w:rPr>
                <w:sz w:val="16"/>
              </w:rPr>
              <w:t>DR-1662-IN</w:t>
            </w:r>
          </w:p>
        </w:tc>
        <w:tc>
          <w:tcPr>
            <w:tcW w:type="dxa" w:w="1447"/>
          </w:tcPr>
          <w:p>
            <w:pPr>
              <w:spacing w:after="0"/>
              <w:jc w:val="left"/>
            </w:pPr>
            <w:r>
              <w:rPr>
                <w:sz w:val="16"/>
              </w:rPr>
              <w:t>Major disaster</w:t>
            </w:r>
          </w:p>
        </w:tc>
        <w:tc>
          <w:tcPr>
            <w:tcW w:type="dxa" w:w="3207"/>
          </w:tcPr>
          <w:p>
            <w:pPr>
              <w:spacing w:after="0"/>
              <w:jc w:val="left"/>
            </w:pPr>
            <w:r>
              <w:rPr>
                <w:sz w:val="16"/>
              </w:rPr>
              <w:t>SEVERE STORMS AND FLOODING</w:t>
            </w:r>
          </w:p>
        </w:tc>
        <w:tc>
          <w:tcPr>
            <w:tcW w:type="dxa" w:w="2373"/>
          </w:tcPr>
          <w:p>
            <w:pPr>
              <w:spacing w:after="0"/>
              <w:jc w:val="left"/>
            </w:pPr>
            <w:r>
              <w:rPr>
                <w:sz w:val="16"/>
              </w:rPr>
              <w:t>Inland Flooding</w:t>
            </w:r>
          </w:p>
        </w:tc>
        <w:tc>
          <w:tcPr>
            <w:tcW w:type="dxa" w:w="1484"/>
          </w:tcPr>
          <w:p>
            <w:pPr>
              <w:spacing w:after="0"/>
              <w:jc w:val="right"/>
            </w:pPr>
            <w:r>
              <w:rPr>
                <w:sz w:val="16"/>
              </w:rPr>
              <w:t>PA not declared for this county</w:t>
            </w:r>
          </w:p>
        </w:tc>
        <w:tc>
          <w:tcPr>
            <w:tcW w:type="dxa" w:w="1447"/>
          </w:tcPr>
          <w:p>
            <w:pPr>
              <w:spacing w:after="0"/>
              <w:jc w:val="left"/>
            </w:pPr>
          </w:p>
        </w:tc>
        <w:tc>
          <w:tcPr>
            <w:tcW w:type="dxa" w:w="928"/>
          </w:tcPr>
          <w:p>
            <w:pPr>
              <w:spacing w:after="0"/>
              <w:jc w:val="left"/>
            </w:pPr>
          </w:p>
        </w:tc>
      </w:tr>
      <w:tr>
        <w:trPr>
          <w:cantSplit/>
        </w:trPr>
        <w:tc>
          <w:tcPr>
            <w:tcW w:type="dxa" w:w="1076"/>
          </w:tcPr>
          <w:p>
            <w:pPr>
              <w:spacing w:after="0"/>
              <w:jc w:val="left"/>
            </w:pPr>
            <w:r>
              <w:rPr>
                <w:sz w:val="16"/>
              </w:rPr>
              <w:t>2005-11-08</w:t>
            </w:r>
          </w:p>
        </w:tc>
        <w:tc>
          <w:tcPr>
            <w:tcW w:type="dxa" w:w="1076"/>
          </w:tcPr>
          <w:p>
            <w:pPr>
              <w:spacing w:after="0"/>
              <w:jc w:val="left"/>
            </w:pPr>
            <w:r>
              <w:rPr>
                <w:sz w:val="16"/>
              </w:rPr>
              <w:t>2005-11-06</w:t>
            </w:r>
          </w:p>
        </w:tc>
        <w:tc>
          <w:tcPr>
            <w:tcW w:type="dxa" w:w="1076"/>
          </w:tcPr>
          <w:p>
            <w:pPr>
              <w:spacing w:after="0"/>
              <w:jc w:val="left"/>
            </w:pPr>
            <w:r>
              <w:rPr>
                <w:sz w:val="16"/>
              </w:rPr>
              <w:t>DR-1612-IN</w:t>
            </w:r>
          </w:p>
        </w:tc>
        <w:tc>
          <w:tcPr>
            <w:tcW w:type="dxa" w:w="1447"/>
          </w:tcPr>
          <w:p>
            <w:pPr>
              <w:spacing w:after="0"/>
              <w:jc w:val="left"/>
            </w:pPr>
            <w:r>
              <w:rPr>
                <w:sz w:val="16"/>
              </w:rPr>
              <w:t>Major disaster</w:t>
            </w:r>
          </w:p>
        </w:tc>
        <w:tc>
          <w:tcPr>
            <w:tcW w:type="dxa" w:w="3207"/>
          </w:tcPr>
          <w:p>
            <w:pPr>
              <w:spacing w:after="0"/>
              <w:jc w:val="left"/>
            </w:pPr>
            <w:r>
              <w:rPr>
                <w:sz w:val="16"/>
              </w:rPr>
              <w:t>TORNADO AND SEVERE STORMS</w:t>
            </w:r>
          </w:p>
        </w:tc>
        <w:tc>
          <w:tcPr>
            <w:tcW w:type="dxa" w:w="2373"/>
          </w:tcPr>
          <w:p>
            <w:pPr>
              <w:spacing w:after="0"/>
              <w:jc w:val="left"/>
            </w:pPr>
            <w:r>
              <w:rPr>
                <w:sz w:val="16"/>
              </w:rPr>
              <w:t>Tornado</w:t>
            </w:r>
          </w:p>
        </w:tc>
        <w:tc>
          <w:tcPr>
            <w:tcW w:type="dxa" w:w="1484"/>
          </w:tcPr>
          <w:p>
            <w:pPr>
              <w:spacing w:after="0"/>
              <w:jc w:val="right"/>
            </w:pPr>
            <w:r>
              <w:rPr>
                <w:sz w:val="16"/>
              </w:rPr>
              <w:t>$1,260,863.43</w:t>
            </w:r>
          </w:p>
        </w:tc>
        <w:tc>
          <w:tcPr>
            <w:tcW w:type="dxa" w:w="1447"/>
          </w:tcPr>
          <w:p>
            <w:pPr>
              <w:spacing w:after="0"/>
              <w:jc w:val="left"/>
            </w:pPr>
          </w:p>
        </w:tc>
        <w:tc>
          <w:tcPr>
            <w:tcW w:type="dxa" w:w="928"/>
          </w:tcPr>
          <w:p>
            <w:pPr>
              <w:spacing w:after="0"/>
              <w:jc w:val="left"/>
            </w:pPr>
          </w:p>
        </w:tc>
      </w:tr>
      <w:tr>
        <w:trPr>
          <w:cantSplit/>
        </w:trPr>
        <w:tc>
          <w:tcPr>
            <w:tcW w:type="dxa" w:w="1076"/>
          </w:tcPr>
          <w:p>
            <w:pPr>
              <w:spacing w:after="0"/>
              <w:jc w:val="left"/>
            </w:pPr>
            <w:r>
              <w:rPr>
                <w:sz w:val="16"/>
              </w:rPr>
              <w:t>2005-09-10</w:t>
            </w:r>
          </w:p>
        </w:tc>
        <w:tc>
          <w:tcPr>
            <w:tcW w:type="dxa" w:w="1076"/>
          </w:tcPr>
          <w:p>
            <w:pPr>
              <w:spacing w:after="0"/>
              <w:jc w:val="left"/>
            </w:pPr>
            <w:r>
              <w:rPr>
                <w:sz w:val="16"/>
              </w:rPr>
              <w:t>2005-08-29</w:t>
            </w:r>
          </w:p>
        </w:tc>
        <w:tc>
          <w:tcPr>
            <w:tcW w:type="dxa" w:w="1076"/>
          </w:tcPr>
          <w:p>
            <w:pPr>
              <w:spacing w:after="0"/>
              <w:jc w:val="left"/>
            </w:pPr>
            <w:r>
              <w:rPr>
                <w:sz w:val="16"/>
              </w:rPr>
              <w:t>EM-3238-IN</w:t>
            </w:r>
          </w:p>
        </w:tc>
        <w:tc>
          <w:tcPr>
            <w:tcW w:type="dxa" w:w="1447"/>
          </w:tcPr>
          <w:p>
            <w:pPr>
              <w:spacing w:after="0"/>
              <w:jc w:val="left"/>
            </w:pPr>
            <w:r>
              <w:rPr>
                <w:sz w:val="16"/>
              </w:rPr>
              <w:t>Emergency</w:t>
            </w:r>
          </w:p>
        </w:tc>
        <w:tc>
          <w:tcPr>
            <w:tcW w:type="dxa" w:w="3207"/>
          </w:tcPr>
          <w:p>
            <w:pPr>
              <w:spacing w:after="0"/>
              <w:jc w:val="left"/>
            </w:pPr>
            <w:r>
              <w:rPr>
                <w:sz w:val="16"/>
              </w:rPr>
              <w:t>HURRICANE KATRINA EVACUATION</w:t>
            </w:r>
          </w:p>
        </w:tc>
        <w:tc>
          <w:tcPr>
            <w:tcW w:type="dxa" w:w="2373"/>
          </w:tcPr>
          <w:p>
            <w:pPr>
              <w:spacing w:after="0"/>
              <w:jc w:val="left"/>
            </w:pPr>
            <w:r>
              <w:rPr>
                <w:sz w:val="16"/>
              </w:rPr>
              <w:t>Hurricane: evacuation support, not a local hazard event; not counted</w:t>
            </w:r>
          </w:p>
        </w:tc>
        <w:tc>
          <w:tcPr>
            <w:tcW w:type="dxa" w:w="1484"/>
          </w:tcPr>
          <w:p>
            <w:pPr>
              <w:spacing w:after="0"/>
              <w:jc w:val="right"/>
            </w:pPr>
            <w:r>
              <w:rPr>
                <w:sz w:val="16"/>
              </w:rPr>
              <w:t>none found</w:t>
            </w:r>
          </w:p>
        </w:tc>
        <w:tc>
          <w:tcPr>
            <w:tcW w:type="dxa" w:w="1447"/>
          </w:tcPr>
          <w:p>
            <w:pPr>
              <w:spacing w:after="0"/>
              <w:jc w:val="left"/>
            </w:pPr>
          </w:p>
        </w:tc>
        <w:tc>
          <w:tcPr>
            <w:tcW w:type="dxa" w:w="928"/>
          </w:tcPr>
          <w:p>
            <w:pPr>
              <w:spacing w:after="0"/>
              <w:jc w:val="left"/>
            </w:pPr>
          </w:p>
        </w:tc>
      </w:tr>
      <w:tr>
        <w:trPr>
          <w:cantSplit/>
        </w:trPr>
        <w:tc>
          <w:tcPr>
            <w:tcW w:type="dxa" w:w="1076"/>
          </w:tcPr>
          <w:p>
            <w:pPr>
              <w:spacing w:after="0"/>
              <w:jc w:val="left"/>
            </w:pPr>
            <w:r>
              <w:rPr>
                <w:sz w:val="16"/>
              </w:rPr>
              <w:t>2005-01-21</w:t>
            </w:r>
          </w:p>
        </w:tc>
        <w:tc>
          <w:tcPr>
            <w:tcW w:type="dxa" w:w="1076"/>
          </w:tcPr>
          <w:p>
            <w:pPr>
              <w:spacing w:after="0"/>
              <w:jc w:val="left"/>
            </w:pPr>
            <w:r>
              <w:rPr>
                <w:sz w:val="16"/>
              </w:rPr>
              <w:t>2005-01-01</w:t>
            </w:r>
          </w:p>
        </w:tc>
        <w:tc>
          <w:tcPr>
            <w:tcW w:type="dxa" w:w="1076"/>
          </w:tcPr>
          <w:p>
            <w:pPr>
              <w:spacing w:after="0"/>
              <w:jc w:val="left"/>
            </w:pPr>
            <w:r>
              <w:rPr>
                <w:sz w:val="16"/>
              </w:rPr>
              <w:t>DR-1573-IN</w:t>
            </w:r>
          </w:p>
        </w:tc>
        <w:tc>
          <w:tcPr>
            <w:tcW w:type="dxa" w:w="1447"/>
          </w:tcPr>
          <w:p>
            <w:pPr>
              <w:spacing w:after="0"/>
              <w:jc w:val="left"/>
            </w:pPr>
            <w:r>
              <w:rPr>
                <w:sz w:val="16"/>
              </w:rPr>
              <w:t>Major disaster</w:t>
            </w:r>
          </w:p>
        </w:tc>
        <w:tc>
          <w:tcPr>
            <w:tcW w:type="dxa" w:w="3207"/>
          </w:tcPr>
          <w:p>
            <w:pPr>
              <w:spacing w:after="0"/>
              <w:jc w:val="left"/>
            </w:pPr>
            <w:r>
              <w:rPr>
                <w:sz w:val="16"/>
              </w:rPr>
              <w:t>SEVERE WINTER STORMS AND FLOODING</w:t>
            </w:r>
          </w:p>
        </w:tc>
        <w:tc>
          <w:tcPr>
            <w:tcW w:type="dxa" w:w="2373"/>
          </w:tcPr>
          <w:p>
            <w:pPr>
              <w:spacing w:after="0"/>
              <w:jc w:val="left"/>
            </w:pPr>
            <w:r>
              <w:rPr>
                <w:sz w:val="16"/>
              </w:rPr>
              <w:t>Inland Flooding; Winter Weather</w:t>
            </w:r>
          </w:p>
        </w:tc>
        <w:tc>
          <w:tcPr>
            <w:tcW w:type="dxa" w:w="1484"/>
          </w:tcPr>
          <w:p>
            <w:pPr>
              <w:spacing w:after="0"/>
              <w:jc w:val="right"/>
            </w:pPr>
            <w:r>
              <w:rPr>
                <w:sz w:val="16"/>
              </w:rPr>
              <w:t>PA not declared for this county</w:t>
            </w:r>
          </w:p>
        </w:tc>
        <w:tc>
          <w:tcPr>
            <w:tcW w:type="dxa" w:w="1447"/>
          </w:tcPr>
          <w:p>
            <w:pPr>
              <w:spacing w:after="0"/>
              <w:jc w:val="left"/>
            </w:pPr>
          </w:p>
        </w:tc>
        <w:tc>
          <w:tcPr>
            <w:tcW w:type="dxa" w:w="928"/>
          </w:tcPr>
          <w:p>
            <w:pPr>
              <w:spacing w:after="0"/>
              <w:jc w:val="left"/>
            </w:pPr>
          </w:p>
        </w:tc>
      </w:tr>
      <w:tr>
        <w:trPr>
          <w:cantSplit/>
        </w:trPr>
        <w:tc>
          <w:tcPr>
            <w:tcW w:type="dxa" w:w="1076"/>
          </w:tcPr>
          <w:p>
            <w:pPr>
              <w:spacing w:after="0"/>
              <w:jc w:val="left"/>
            </w:pPr>
            <w:r>
              <w:rPr>
                <w:sz w:val="16"/>
              </w:rPr>
              <w:t>2005-01-11</w:t>
            </w:r>
          </w:p>
        </w:tc>
        <w:tc>
          <w:tcPr>
            <w:tcW w:type="dxa" w:w="1076"/>
          </w:tcPr>
          <w:p>
            <w:pPr>
              <w:spacing w:after="0"/>
              <w:jc w:val="left"/>
            </w:pPr>
            <w:r>
              <w:rPr>
                <w:sz w:val="16"/>
              </w:rPr>
              <w:t>2004-12-21</w:t>
            </w:r>
          </w:p>
        </w:tc>
        <w:tc>
          <w:tcPr>
            <w:tcW w:type="dxa" w:w="1076"/>
          </w:tcPr>
          <w:p>
            <w:pPr>
              <w:spacing w:after="0"/>
              <w:jc w:val="left"/>
            </w:pPr>
            <w:r>
              <w:rPr>
                <w:sz w:val="16"/>
              </w:rPr>
              <w:t>EM-3197-IN</w:t>
            </w:r>
          </w:p>
        </w:tc>
        <w:tc>
          <w:tcPr>
            <w:tcW w:type="dxa" w:w="1447"/>
          </w:tcPr>
          <w:p>
            <w:pPr>
              <w:spacing w:after="0"/>
              <w:jc w:val="left"/>
            </w:pPr>
            <w:r>
              <w:rPr>
                <w:sz w:val="16"/>
              </w:rPr>
              <w:t>Emergency</w:t>
            </w:r>
          </w:p>
        </w:tc>
        <w:tc>
          <w:tcPr>
            <w:tcW w:type="dxa" w:w="3207"/>
          </w:tcPr>
          <w:p>
            <w:pPr>
              <w:spacing w:after="0"/>
              <w:jc w:val="left"/>
            </w:pPr>
            <w:r>
              <w:rPr>
                <w:sz w:val="16"/>
              </w:rPr>
              <w:t>SNOW</w:t>
            </w:r>
          </w:p>
        </w:tc>
        <w:tc>
          <w:tcPr>
            <w:tcW w:type="dxa" w:w="2373"/>
          </w:tcPr>
          <w:p>
            <w:pPr>
              <w:spacing w:after="0"/>
              <w:jc w:val="left"/>
            </w:pPr>
            <w:r>
              <w:rPr>
                <w:sz w:val="16"/>
              </w:rPr>
              <w:t>Winter Weather</w:t>
            </w:r>
          </w:p>
        </w:tc>
        <w:tc>
          <w:tcPr>
            <w:tcW w:type="dxa" w:w="1484"/>
          </w:tcPr>
          <w:p>
            <w:pPr>
              <w:spacing w:after="0"/>
              <w:jc w:val="right"/>
            </w:pPr>
            <w:r>
              <w:rPr>
                <w:sz w:val="16"/>
              </w:rPr>
              <w:t>$60,475.79</w:t>
            </w:r>
          </w:p>
        </w:tc>
        <w:tc>
          <w:tcPr>
            <w:tcW w:type="dxa" w:w="1447"/>
          </w:tcPr>
          <w:p>
            <w:pPr>
              <w:spacing w:after="0"/>
              <w:jc w:val="left"/>
            </w:pPr>
          </w:p>
        </w:tc>
        <w:tc>
          <w:tcPr>
            <w:tcW w:type="dxa" w:w="928"/>
          </w:tcPr>
          <w:p>
            <w:pPr>
              <w:spacing w:after="0"/>
              <w:jc w:val="left"/>
            </w:pPr>
          </w:p>
        </w:tc>
      </w:tr>
      <w:tr>
        <w:trPr>
          <w:cantSplit/>
        </w:trPr>
        <w:tc>
          <w:tcPr>
            <w:tcW w:type="dxa" w:w="1076"/>
          </w:tcPr>
          <w:p>
            <w:pPr>
              <w:spacing w:after="0"/>
              <w:jc w:val="left"/>
            </w:pPr>
            <w:r>
              <w:rPr>
                <w:sz w:val="16"/>
              </w:rPr>
              <w:t>2004-06-03</w:t>
            </w:r>
          </w:p>
        </w:tc>
        <w:tc>
          <w:tcPr>
            <w:tcW w:type="dxa" w:w="1076"/>
          </w:tcPr>
          <w:p>
            <w:pPr>
              <w:spacing w:after="0"/>
              <w:jc w:val="left"/>
            </w:pPr>
            <w:r>
              <w:rPr>
                <w:sz w:val="16"/>
              </w:rPr>
              <w:t>2004-05-25</w:t>
            </w:r>
          </w:p>
        </w:tc>
        <w:tc>
          <w:tcPr>
            <w:tcW w:type="dxa" w:w="1076"/>
          </w:tcPr>
          <w:p>
            <w:pPr>
              <w:spacing w:after="0"/>
              <w:jc w:val="left"/>
            </w:pPr>
            <w:r>
              <w:rPr>
                <w:sz w:val="16"/>
              </w:rPr>
              <w:t>DR-1520-IN</w:t>
            </w:r>
          </w:p>
        </w:tc>
        <w:tc>
          <w:tcPr>
            <w:tcW w:type="dxa" w:w="1447"/>
          </w:tcPr>
          <w:p>
            <w:pPr>
              <w:spacing w:after="0"/>
              <w:jc w:val="left"/>
            </w:pPr>
            <w:r>
              <w:rPr>
                <w:sz w:val="16"/>
              </w:rPr>
              <w:t>Major disaster</w:t>
            </w:r>
          </w:p>
        </w:tc>
        <w:tc>
          <w:tcPr>
            <w:tcW w:type="dxa" w:w="3207"/>
          </w:tcPr>
          <w:p>
            <w:pPr>
              <w:spacing w:after="0"/>
              <w:jc w:val="left"/>
            </w:pPr>
            <w:r>
              <w:rPr>
                <w:sz w:val="16"/>
              </w:rPr>
              <w:t>SEVERE STORMS, TORNADOES, AND FLOODING</w:t>
            </w:r>
          </w:p>
        </w:tc>
        <w:tc>
          <w:tcPr>
            <w:tcW w:type="dxa" w:w="2373"/>
          </w:tcPr>
          <w:p>
            <w:pPr>
              <w:spacing w:after="0"/>
              <w:jc w:val="left"/>
            </w:pPr>
            <w:r>
              <w:rPr>
                <w:sz w:val="16"/>
              </w:rPr>
              <w:t>Inland Flooding; Tornado</w:t>
            </w:r>
          </w:p>
        </w:tc>
        <w:tc>
          <w:tcPr>
            <w:tcW w:type="dxa" w:w="1484"/>
          </w:tcPr>
          <w:p>
            <w:pPr>
              <w:spacing w:after="0"/>
              <w:jc w:val="right"/>
            </w:pPr>
            <w:r>
              <w:rPr>
                <w:sz w:val="16"/>
              </w:rPr>
              <w:t>$175,520.64</w:t>
            </w:r>
          </w:p>
        </w:tc>
        <w:tc>
          <w:tcPr>
            <w:tcW w:type="dxa" w:w="1447"/>
          </w:tcPr>
          <w:p>
            <w:pPr>
              <w:spacing w:after="0"/>
              <w:jc w:val="left"/>
            </w:pPr>
          </w:p>
        </w:tc>
        <w:tc>
          <w:tcPr>
            <w:tcW w:type="dxa" w:w="928"/>
          </w:tcPr>
          <w:p>
            <w:pPr>
              <w:spacing w:after="0"/>
              <w:jc w:val="left"/>
            </w:pPr>
          </w:p>
        </w:tc>
      </w:tr>
      <w:tr>
        <w:trPr>
          <w:cantSplit/>
        </w:trPr>
        <w:tc>
          <w:tcPr>
            <w:tcW w:type="dxa" w:w="1076"/>
          </w:tcPr>
          <w:p>
            <w:pPr>
              <w:spacing w:after="0"/>
              <w:jc w:val="left"/>
            </w:pPr>
            <w:r>
              <w:rPr>
                <w:sz w:val="16"/>
              </w:rPr>
              <w:t>1997-03-06</w:t>
            </w:r>
          </w:p>
        </w:tc>
        <w:tc>
          <w:tcPr>
            <w:tcW w:type="dxa" w:w="1076"/>
          </w:tcPr>
          <w:p>
            <w:pPr>
              <w:spacing w:after="0"/>
              <w:jc w:val="left"/>
            </w:pPr>
            <w:r>
              <w:rPr>
                <w:sz w:val="16"/>
              </w:rPr>
              <w:t>1997-02-28</w:t>
            </w:r>
          </w:p>
        </w:tc>
        <w:tc>
          <w:tcPr>
            <w:tcW w:type="dxa" w:w="1076"/>
          </w:tcPr>
          <w:p>
            <w:pPr>
              <w:spacing w:after="0"/>
              <w:jc w:val="left"/>
            </w:pPr>
            <w:r>
              <w:rPr>
                <w:sz w:val="16"/>
              </w:rPr>
              <w:t>DR-1165-IN</w:t>
            </w:r>
          </w:p>
        </w:tc>
        <w:tc>
          <w:tcPr>
            <w:tcW w:type="dxa" w:w="1447"/>
          </w:tcPr>
          <w:p>
            <w:pPr>
              <w:spacing w:after="0"/>
              <w:jc w:val="left"/>
            </w:pPr>
            <w:r>
              <w:rPr>
                <w:sz w:val="16"/>
              </w:rPr>
              <w:t>Major disaster</w:t>
            </w:r>
          </w:p>
        </w:tc>
        <w:tc>
          <w:tcPr>
            <w:tcW w:type="dxa" w:w="3207"/>
          </w:tcPr>
          <w:p>
            <w:pPr>
              <w:spacing w:after="0"/>
              <w:jc w:val="left"/>
            </w:pPr>
            <w:r>
              <w:rPr>
                <w:sz w:val="16"/>
              </w:rPr>
              <w:t>SEVERE STORMS AND FLOODING</w:t>
            </w:r>
          </w:p>
        </w:tc>
        <w:tc>
          <w:tcPr>
            <w:tcW w:type="dxa" w:w="2373"/>
          </w:tcPr>
          <w:p>
            <w:pPr>
              <w:spacing w:after="0"/>
              <w:jc w:val="left"/>
            </w:pPr>
            <w:r>
              <w:rPr>
                <w:sz w:val="16"/>
              </w:rPr>
              <w:t>Inland Flooding</w:t>
            </w:r>
          </w:p>
        </w:tc>
        <w:tc>
          <w:tcPr>
            <w:tcW w:type="dxa" w:w="1484"/>
          </w:tcPr>
          <w:p>
            <w:pPr>
              <w:spacing w:after="0"/>
              <w:jc w:val="right"/>
            </w:pPr>
            <w:r>
              <w:rPr>
                <w:sz w:val="16"/>
              </w:rPr>
              <w:t>none found</w:t>
            </w:r>
          </w:p>
        </w:tc>
        <w:tc>
          <w:tcPr>
            <w:tcW w:type="dxa" w:w="1447"/>
          </w:tcPr>
          <w:p>
            <w:pPr>
              <w:spacing w:after="0"/>
              <w:jc w:val="left"/>
            </w:pPr>
          </w:p>
        </w:tc>
        <w:tc>
          <w:tcPr>
            <w:tcW w:type="dxa" w:w="928"/>
          </w:tcPr>
          <w:p>
            <w:pPr>
              <w:spacing w:after="0"/>
              <w:jc w:val="left"/>
            </w:pPr>
          </w:p>
        </w:tc>
      </w:tr>
      <w:tr>
        <w:trPr>
          <w:cantSplit/>
        </w:trPr>
        <w:tc>
          <w:tcPr>
            <w:tcW w:type="dxa" w:w="1076"/>
          </w:tcPr>
          <w:p>
            <w:pPr>
              <w:spacing w:after="0"/>
              <w:jc w:val="left"/>
            </w:pPr>
            <w:r>
              <w:rPr>
                <w:sz w:val="16"/>
              </w:rPr>
              <w:t>1996-07-03</w:t>
            </w:r>
          </w:p>
        </w:tc>
        <w:tc>
          <w:tcPr>
            <w:tcW w:type="dxa" w:w="1076"/>
          </w:tcPr>
          <w:p>
            <w:pPr>
              <w:spacing w:after="0"/>
              <w:jc w:val="left"/>
            </w:pPr>
            <w:r>
              <w:rPr>
                <w:sz w:val="16"/>
              </w:rPr>
              <w:t>1996-04-28</w:t>
            </w:r>
          </w:p>
        </w:tc>
        <w:tc>
          <w:tcPr>
            <w:tcW w:type="dxa" w:w="1076"/>
          </w:tcPr>
          <w:p>
            <w:pPr>
              <w:spacing w:after="0"/>
              <w:jc w:val="left"/>
            </w:pPr>
            <w:r>
              <w:rPr>
                <w:sz w:val="16"/>
              </w:rPr>
              <w:t>DR-1125-IN</w:t>
            </w:r>
          </w:p>
        </w:tc>
        <w:tc>
          <w:tcPr>
            <w:tcW w:type="dxa" w:w="1447"/>
          </w:tcPr>
          <w:p>
            <w:pPr>
              <w:spacing w:after="0"/>
              <w:jc w:val="left"/>
            </w:pPr>
            <w:r>
              <w:rPr>
                <w:sz w:val="16"/>
              </w:rPr>
              <w:t>Major disaster</w:t>
            </w:r>
          </w:p>
        </w:tc>
        <w:tc>
          <w:tcPr>
            <w:tcW w:type="dxa" w:w="3207"/>
          </w:tcPr>
          <w:p>
            <w:pPr>
              <w:spacing w:after="0"/>
              <w:jc w:val="left"/>
            </w:pPr>
            <w:r>
              <w:rPr>
                <w:sz w:val="16"/>
              </w:rPr>
              <w:t>SEVERE STORMS AND FLOODING</w:t>
            </w:r>
          </w:p>
        </w:tc>
        <w:tc>
          <w:tcPr>
            <w:tcW w:type="dxa" w:w="2373"/>
          </w:tcPr>
          <w:p>
            <w:pPr>
              <w:spacing w:after="0"/>
              <w:jc w:val="left"/>
            </w:pPr>
            <w:r>
              <w:rPr>
                <w:sz w:val="16"/>
              </w:rPr>
              <w:t>Inland Flooding</w:t>
            </w:r>
          </w:p>
        </w:tc>
        <w:tc>
          <w:tcPr>
            <w:tcW w:type="dxa" w:w="1484"/>
          </w:tcPr>
          <w:p>
            <w:pPr>
              <w:spacing w:after="0"/>
              <w:jc w:val="right"/>
            </w:pPr>
            <w:r>
              <w:rPr>
                <w:sz w:val="16"/>
              </w:rPr>
              <w:t>none found</w:t>
            </w:r>
          </w:p>
        </w:tc>
        <w:tc>
          <w:tcPr>
            <w:tcW w:type="dxa" w:w="1447"/>
          </w:tcPr>
          <w:p>
            <w:pPr>
              <w:spacing w:after="0"/>
              <w:jc w:val="left"/>
            </w:pPr>
          </w:p>
        </w:tc>
        <w:tc>
          <w:tcPr>
            <w:tcW w:type="dxa" w:w="928"/>
          </w:tcPr>
          <w:p>
            <w:pPr>
              <w:spacing w:after="0"/>
              <w:jc w:val="left"/>
            </w:pPr>
          </w:p>
        </w:tc>
      </w:tr>
      <w:tr>
        <w:trPr>
          <w:cantSplit/>
        </w:trPr>
        <w:tc>
          <w:tcPr>
            <w:tcW w:type="dxa" w:w="1076"/>
          </w:tcPr>
          <w:p>
            <w:pPr>
              <w:spacing w:after="0"/>
              <w:jc w:val="left"/>
            </w:pPr>
            <w:r>
              <w:rPr>
                <w:sz w:val="16"/>
              </w:rPr>
              <w:t>1996-04-02</w:t>
            </w:r>
          </w:p>
        </w:tc>
        <w:tc>
          <w:tcPr>
            <w:tcW w:type="dxa" w:w="1076"/>
          </w:tcPr>
          <w:p>
            <w:pPr>
              <w:spacing w:after="0"/>
              <w:jc w:val="left"/>
            </w:pPr>
            <w:r>
              <w:rPr>
                <w:sz w:val="16"/>
              </w:rPr>
              <w:t>1996-01-06</w:t>
            </w:r>
          </w:p>
        </w:tc>
        <w:tc>
          <w:tcPr>
            <w:tcW w:type="dxa" w:w="1076"/>
          </w:tcPr>
          <w:p>
            <w:pPr>
              <w:spacing w:after="0"/>
              <w:jc w:val="left"/>
            </w:pPr>
            <w:r>
              <w:rPr>
                <w:sz w:val="16"/>
              </w:rPr>
              <w:t>DR-1109-IN</w:t>
            </w:r>
          </w:p>
        </w:tc>
        <w:tc>
          <w:tcPr>
            <w:tcW w:type="dxa" w:w="1447"/>
          </w:tcPr>
          <w:p>
            <w:pPr>
              <w:spacing w:after="0"/>
              <w:jc w:val="left"/>
            </w:pPr>
            <w:r>
              <w:rPr>
                <w:sz w:val="16"/>
              </w:rPr>
              <w:t>Major disaster</w:t>
            </w:r>
          </w:p>
        </w:tc>
        <w:tc>
          <w:tcPr>
            <w:tcW w:type="dxa" w:w="3207"/>
          </w:tcPr>
          <w:p>
            <w:pPr>
              <w:spacing w:after="0"/>
              <w:jc w:val="left"/>
            </w:pPr>
            <w:r>
              <w:rPr>
                <w:sz w:val="16"/>
              </w:rPr>
              <w:t>BLIZZARD OF 96</w:t>
            </w:r>
          </w:p>
        </w:tc>
        <w:tc>
          <w:tcPr>
            <w:tcW w:type="dxa" w:w="2373"/>
          </w:tcPr>
          <w:p>
            <w:pPr>
              <w:spacing w:after="0"/>
              <w:jc w:val="left"/>
            </w:pPr>
            <w:r>
              <w:rPr>
                <w:sz w:val="16"/>
              </w:rPr>
              <w:t>Inland Flooding</w:t>
            </w:r>
          </w:p>
        </w:tc>
        <w:tc>
          <w:tcPr>
            <w:tcW w:type="dxa" w:w="1484"/>
          </w:tcPr>
          <w:p>
            <w:pPr>
              <w:spacing w:after="0"/>
              <w:jc w:val="right"/>
            </w:pPr>
            <w:r>
              <w:rPr>
                <w:sz w:val="16"/>
              </w:rPr>
              <w:t>none found</w:t>
            </w:r>
          </w:p>
        </w:tc>
        <w:tc>
          <w:tcPr>
            <w:tcW w:type="dxa" w:w="1447"/>
          </w:tcPr>
          <w:p>
            <w:pPr>
              <w:spacing w:after="0"/>
              <w:jc w:val="left"/>
            </w:pPr>
          </w:p>
        </w:tc>
        <w:tc>
          <w:tcPr>
            <w:tcW w:type="dxa" w:w="928"/>
          </w:tcPr>
          <w:p>
            <w:pPr>
              <w:spacing w:after="0"/>
              <w:jc w:val="left"/>
            </w:pPr>
          </w:p>
        </w:tc>
      </w:tr>
      <w:tr>
        <w:trPr>
          <w:cantSplit/>
        </w:trPr>
        <w:tc>
          <w:tcPr>
            <w:tcW w:type="dxa" w:w="1076"/>
          </w:tcPr>
          <w:p>
            <w:pPr>
              <w:spacing w:after="0"/>
              <w:jc w:val="left"/>
            </w:pPr>
            <w:r>
              <w:rPr>
                <w:sz w:val="16"/>
              </w:rPr>
              <w:t>1990-06-04</w:t>
            </w:r>
          </w:p>
        </w:tc>
        <w:tc>
          <w:tcPr>
            <w:tcW w:type="dxa" w:w="1076"/>
          </w:tcPr>
          <w:p>
            <w:pPr>
              <w:spacing w:after="0"/>
              <w:jc w:val="left"/>
            </w:pPr>
            <w:r>
              <w:rPr>
                <w:sz w:val="16"/>
              </w:rPr>
              <w:t>1990-05-15</w:t>
            </w:r>
          </w:p>
        </w:tc>
        <w:tc>
          <w:tcPr>
            <w:tcW w:type="dxa" w:w="1076"/>
          </w:tcPr>
          <w:p>
            <w:pPr>
              <w:spacing w:after="0"/>
              <w:jc w:val="left"/>
            </w:pPr>
            <w:r>
              <w:rPr>
                <w:sz w:val="16"/>
              </w:rPr>
              <w:t>DR-869-IN</w:t>
            </w:r>
          </w:p>
        </w:tc>
        <w:tc>
          <w:tcPr>
            <w:tcW w:type="dxa" w:w="1447"/>
          </w:tcPr>
          <w:p>
            <w:pPr>
              <w:spacing w:after="0"/>
              <w:jc w:val="left"/>
            </w:pPr>
            <w:r>
              <w:rPr>
                <w:sz w:val="16"/>
              </w:rPr>
              <w:t>Major disaster</w:t>
            </w:r>
          </w:p>
        </w:tc>
        <w:tc>
          <w:tcPr>
            <w:tcW w:type="dxa" w:w="3207"/>
          </w:tcPr>
          <w:p>
            <w:pPr>
              <w:spacing w:after="0"/>
              <w:jc w:val="left"/>
            </w:pPr>
            <w:r>
              <w:rPr>
                <w:sz w:val="16"/>
              </w:rPr>
              <w:t>SEVERE STORMS, TORNADOES &amp; FLOODING</w:t>
            </w:r>
          </w:p>
        </w:tc>
        <w:tc>
          <w:tcPr>
            <w:tcW w:type="dxa" w:w="2373"/>
          </w:tcPr>
          <w:p>
            <w:pPr>
              <w:spacing w:after="0"/>
              <w:jc w:val="left"/>
            </w:pPr>
            <w:r>
              <w:rPr>
                <w:sz w:val="16"/>
              </w:rPr>
              <w:t>Inland Flooding; Tornado</w:t>
            </w:r>
          </w:p>
        </w:tc>
        <w:tc>
          <w:tcPr>
            <w:tcW w:type="dxa" w:w="1484"/>
          </w:tcPr>
          <w:p>
            <w:pPr>
              <w:spacing w:after="0"/>
              <w:jc w:val="right"/>
            </w:pPr>
            <w:r>
              <w:rPr>
                <w:sz w:val="16"/>
              </w:rPr>
              <w:t>none found</w:t>
            </w:r>
          </w:p>
        </w:tc>
        <w:tc>
          <w:tcPr>
            <w:tcW w:type="dxa" w:w="1447"/>
          </w:tcPr>
          <w:p>
            <w:pPr>
              <w:spacing w:after="0"/>
              <w:jc w:val="left"/>
            </w:pPr>
          </w:p>
        </w:tc>
        <w:tc>
          <w:tcPr>
            <w:tcW w:type="dxa" w:w="928"/>
          </w:tcPr>
          <w:p>
            <w:pPr>
              <w:spacing w:after="0"/>
              <w:jc w:val="left"/>
            </w:pPr>
          </w:p>
        </w:tc>
      </w:tr>
      <w:tr>
        <w:trPr>
          <w:cantSplit/>
        </w:trPr>
        <w:tc>
          <w:tcPr>
            <w:tcW w:type="dxa" w:w="1076"/>
          </w:tcPr>
          <w:p>
            <w:pPr>
              <w:spacing w:after="0"/>
              <w:jc w:val="left"/>
            </w:pPr>
            <w:r>
              <w:rPr>
                <w:sz w:val="16"/>
              </w:rPr>
              <w:t>1979-07-31</w:t>
            </w:r>
          </w:p>
        </w:tc>
        <w:tc>
          <w:tcPr>
            <w:tcW w:type="dxa" w:w="1076"/>
          </w:tcPr>
          <w:p>
            <w:pPr>
              <w:spacing w:after="0"/>
              <w:jc w:val="left"/>
            </w:pPr>
            <w:r>
              <w:rPr>
                <w:sz w:val="16"/>
              </w:rPr>
              <w:t>1979-07-31</w:t>
            </w:r>
          </w:p>
        </w:tc>
        <w:tc>
          <w:tcPr>
            <w:tcW w:type="dxa" w:w="1076"/>
          </w:tcPr>
          <w:p>
            <w:pPr>
              <w:spacing w:after="0"/>
              <w:jc w:val="left"/>
            </w:pPr>
            <w:r>
              <w:rPr>
                <w:sz w:val="16"/>
              </w:rPr>
              <w:t>DR-596-IN</w:t>
            </w:r>
          </w:p>
        </w:tc>
        <w:tc>
          <w:tcPr>
            <w:tcW w:type="dxa" w:w="1447"/>
          </w:tcPr>
          <w:p>
            <w:pPr>
              <w:spacing w:after="0"/>
              <w:jc w:val="left"/>
            </w:pPr>
            <w:r>
              <w:rPr>
                <w:sz w:val="16"/>
              </w:rPr>
              <w:t>Major disaster</w:t>
            </w:r>
          </w:p>
        </w:tc>
        <w:tc>
          <w:tcPr>
            <w:tcW w:type="dxa" w:w="3207"/>
          </w:tcPr>
          <w:p>
            <w:pPr>
              <w:spacing w:after="0"/>
              <w:jc w:val="left"/>
            </w:pPr>
            <w:r>
              <w:rPr>
                <w:sz w:val="16"/>
              </w:rPr>
              <w:t>SEVERE STORMS &amp; FLOODING</w:t>
            </w:r>
          </w:p>
        </w:tc>
        <w:tc>
          <w:tcPr>
            <w:tcW w:type="dxa" w:w="2373"/>
          </w:tcPr>
          <w:p>
            <w:pPr>
              <w:spacing w:after="0"/>
              <w:jc w:val="left"/>
            </w:pPr>
            <w:r>
              <w:rPr>
                <w:sz w:val="16"/>
              </w:rPr>
              <w:t>Inland Flooding</w:t>
            </w:r>
          </w:p>
        </w:tc>
        <w:tc>
          <w:tcPr>
            <w:tcW w:type="dxa" w:w="1484"/>
          </w:tcPr>
          <w:p>
            <w:pPr>
              <w:spacing w:after="0"/>
              <w:jc w:val="right"/>
            </w:pPr>
            <w:r>
              <w:rPr>
                <w:sz w:val="16"/>
              </w:rPr>
              <w:t>none found</w:t>
            </w:r>
          </w:p>
        </w:tc>
        <w:tc>
          <w:tcPr>
            <w:tcW w:type="dxa" w:w="1447"/>
          </w:tcPr>
          <w:p>
            <w:pPr>
              <w:spacing w:after="0"/>
              <w:jc w:val="left"/>
            </w:pPr>
          </w:p>
        </w:tc>
        <w:tc>
          <w:tcPr>
            <w:tcW w:type="dxa" w:w="928"/>
          </w:tcPr>
          <w:p>
            <w:pPr>
              <w:spacing w:after="0"/>
              <w:jc w:val="left"/>
            </w:pPr>
          </w:p>
        </w:tc>
      </w:tr>
    </w:tbl>
    <w:p>
      <w:pPr>
        <w:spacing w:after="40" w:before="60"/>
      </w:pPr>
      <w:r>
        <w:rPr>
          <w:sz w:val="15"/>
        </w:rPr>
        <w:t>County Public Assistance: applicants the FEMA record places in this county, including any state agencies FEMA files there; statewide rows are listed on the state page; federal share obligated, nominal dollars.</w:t>
      </w:r>
    </w:p>
    <w:p>
      <w:pPr>
        <w:spacing w:after="40" w:before="0"/>
      </w:pPr>
      <w:r>
        <w:rPr>
          <w:sz w:val="15"/>
        </w:rPr>
        <w:t>Dollars are nominal (as reported), labeled with the year; not adjusted for inflation.</w:t>
      </w:r>
    </w:p>
    <w:p>
      <w:pPr>
        <w:spacing w:after="20" w:before="0"/>
      </w:pPr>
      <w:r>
        <w:rPr>
          <w:b/>
          <w:color w:val="555555"/>
          <w:sz w:val="15"/>
        </w:rPr>
        <w:t xml:space="preserve">Source: </w:t>
      </w:r>
      <w:r>
        <w:rPr>
          <w:color w:val="555555"/>
          <w:sz w:val="15"/>
        </w:rPr>
        <w:t xml:space="preserve">FEMA, </w:t>
      </w:r>
      <w:hyperlink r:id="rId18">
        <w:r>
          <w:rPr>
            <w:color w:val="1F4E99"/>
            <w:sz w:val="15"/>
            <w:u w:val="single"/>
          </w:rPr>
          <w:t>OpenFEMA DisasterDeclarationsSummaries v2</w:t>
        </w:r>
      </w:hyperlink>
      <w:r>
        <w:rPr>
          <w:color w:val="555555"/>
          <w:sz w:val="15"/>
        </w:rPr>
        <w:t xml:space="preserve">, version 2026-09-27T010817Z, pulled 2026-09-28, </w:t>
      </w:r>
      <w:hyperlink r:id="rId19">
        <w:r>
          <w:rPr>
            <w:color w:val="1F4E99"/>
            <w:sz w:val="15"/>
            <w:u w:val="single"/>
          </w:rPr>
          <w:t>https://www.fema.gov/api/open/v2/DisasterDeclarationsSummaries</w:t>
        </w:r>
      </w:hyperlink>
      <w:r>
        <w:rPr>
          <w:color w:val="555555"/>
          <w:sz w:val="15"/>
        </w:rPr>
        <w:t xml:space="preserve"> (API)</w:t>
      </w:r>
    </w:p>
    <w:p>
      <w:pPr>
        <w:spacing w:after="20" w:before="0"/>
      </w:pPr>
      <w:r>
        <w:rPr>
          <w:b/>
          <w:color w:val="555555"/>
          <w:sz w:val="15"/>
        </w:rPr>
        <w:t xml:space="preserve">Source: </w:t>
      </w:r>
      <w:r>
        <w:rPr>
          <w:color w:val="555555"/>
          <w:sz w:val="15"/>
        </w:rPr>
        <w:t xml:space="preserve">FEMA, </w:t>
      </w:r>
      <w:hyperlink r:id="rId20">
        <w:r>
          <w:rPr>
            <w:color w:val="1F4E99"/>
            <w:sz w:val="15"/>
            <w:u w:val="single"/>
          </w:rPr>
          <w:t>OpenFEMA PublicAssistanceFundedProjectsSummaries v1</w:t>
        </w:r>
      </w:hyperlink>
      <w:r>
        <w:rPr>
          <w:color w:val="555555"/>
          <w:sz w:val="15"/>
        </w:rPr>
        <w:t xml:space="preserve">, version 2026-09-26T151157Z, pulled 2026-09-28, </w:t>
      </w:r>
      <w:hyperlink r:id="rId21">
        <w:r>
          <w:rPr>
            <w:color w:val="1F4E99"/>
            <w:sz w:val="15"/>
            <w:u w:val="single"/>
          </w:rPr>
          <w:t>https://www.fema.gov/api/open/v1/PublicAssistanceFundedProjectsSummaries</w:t>
        </w:r>
      </w:hyperlink>
      <w:r>
        <w:rPr>
          <w:color w:val="555555"/>
          <w:sz w:val="15"/>
        </w:rPr>
        <w:t xml:space="preserve"> (API)</w:t>
      </w:r>
    </w:p>
    <w:p>
      <w:pPr>
        <w:spacing w:after="20" w:before="0"/>
      </w:pPr>
      <w:r>
        <w:rPr>
          <w:b/>
          <w:color w:val="555555"/>
          <w:sz w:val="15"/>
        </w:rPr>
        <w:t xml:space="preserve">Source: </w:t>
      </w:r>
      <w:r>
        <w:rPr>
          <w:color w:val="555555"/>
          <w:sz w:val="15"/>
        </w:rPr>
        <w:t xml:space="preserve">FEMA, </w:t>
      </w:r>
      <w:hyperlink r:id="rId11">
        <w:r>
          <w:rPr>
            <w:color w:val="1F4E99"/>
            <w:sz w:val="15"/>
            <w:u w:val="single"/>
          </w:rPr>
          <w:t>OpenFEMA HazardMitigationPlanStatuses v1</w:t>
        </w:r>
      </w:hyperlink>
      <w:r>
        <w:rPr>
          <w:color w:val="555555"/>
          <w:sz w:val="15"/>
        </w:rPr>
        <w:t xml:space="preserve">, version 2026-09-26T121003Z, pulled 2026-09-28, </w:t>
      </w:r>
      <w:hyperlink r:id="rId12">
        <w:r>
          <w:rPr>
            <w:color w:val="1F4E99"/>
            <w:sz w:val="15"/>
            <w:u w:val="single"/>
          </w:rPr>
          <w:t>https://www.fema.gov/api/open/v1/HazardMitigationPlanStatuses</w:t>
        </w:r>
      </w:hyperlink>
      <w:r>
        <w:rPr>
          <w:color w:val="555555"/>
          <w:sz w:val="15"/>
        </w:rPr>
        <w:t xml:space="preserve"> (API)</w:t>
      </w:r>
    </w:p>
    <w:p>
      <w:pPr>
        <w:spacing w:after="80" w:before="0"/>
      </w:pPr>
    </w:p>
    <w:p>
      <w:pPr>
        <w:pStyle w:val="Heading3"/>
        <w:keepNext/>
        <w:spacing w:after="80"/>
      </w:pPr>
      <w:r>
        <w:rPr/>
        <w:t>Statewide declarations</w:t>
      </w:r>
    </w:p>
    <w:tbl>
      <w:tblPr>
        <w:tblW w:type="auto" w:w="0"/>
        <w:jc w:val="left"/>
        <w:tblBorders>
          <w:top w:val="single" w:sz="4" w:space="0" w:color="808080"/>
          <w:left w:val="single" w:sz="4" w:space="0" w:color="808080"/>
          <w:bottom w:val="single" w:sz="4" w:space="0" w:color="808080"/>
          <w:right w:val="single" w:sz="4" w:space="0" w:color="808080"/>
          <w:insideH w:val="single" w:sz="4" w:space="0" w:color="808080"/>
          <w:insideV w:val="single" w:sz="4" w:space="0" w:color="808080"/>
        </w:tblBorders>
        <w:tblLayout w:type="fixed"/>
        <w:tblCellMar>
          <w:top w:w="15" w:type="dxa"/>
          <w:left w:w="60" w:type="dxa"/>
          <w:bottom w:w="15" w:type="dxa"/>
          <w:right w:w="60" w:type="dxa"/>
        </w:tblCellMar>
        <w:tblLook w:firstColumn="1" w:firstRow="1" w:lastColumn="0" w:lastRow="0" w:noHBand="0" w:noVBand="1" w:val="04A0"/>
        <w:tblCaption w:val="Statewide declarations"/>
        <w:tblDescription w:val="Hazard Plain table b1d_statewide"/>
      </w:tblPr>
      <w:tblGrid>
        <w:gridCol w:w="1529"/>
        <w:gridCol w:w="1529"/>
        <w:gridCol w:w="1529"/>
        <w:gridCol w:w="2055"/>
        <w:gridCol w:w="3372"/>
        <w:gridCol w:w="2187"/>
        <w:gridCol w:w="956"/>
        <w:gridCol w:w="956"/>
      </w:tblGrid>
      <w:tr>
        <w:trPr>
          <w:cantSplit/>
          <w:tblHeader/>
        </w:trPr>
        <w:tc>
          <w:tcPr>
            <w:tcW w:type="dxa" w:w="1529"/>
            <w:shd w:val="clear" w:color="auto" w:fill="E8E8E8"/>
          </w:tcPr>
          <w:p>
            <w:pPr>
              <w:spacing w:after="0"/>
              <w:jc w:val="left"/>
            </w:pPr>
            <w:r>
              <w:rPr>
                <w:b/>
                <w:sz w:val="16"/>
              </w:rPr>
              <w:t>Declared</w:t>
            </w:r>
          </w:p>
        </w:tc>
        <w:tc>
          <w:tcPr>
            <w:tcW w:type="dxa" w:w="1529"/>
            <w:shd w:val="clear" w:color="auto" w:fill="E8E8E8"/>
          </w:tcPr>
          <w:p>
            <w:pPr>
              <w:spacing w:after="0"/>
              <w:jc w:val="left"/>
            </w:pPr>
            <w:r>
              <w:rPr>
                <w:b/>
                <w:sz w:val="16"/>
              </w:rPr>
              <w:t>Incident began</w:t>
            </w:r>
          </w:p>
        </w:tc>
        <w:tc>
          <w:tcPr>
            <w:tcW w:type="dxa" w:w="1529"/>
            <w:shd w:val="clear" w:color="auto" w:fill="E8E8E8"/>
          </w:tcPr>
          <w:p>
            <w:pPr>
              <w:spacing w:after="0"/>
              <w:jc w:val="left"/>
            </w:pPr>
            <w:r>
              <w:rPr>
                <w:b/>
                <w:sz w:val="16"/>
              </w:rPr>
              <w:t>FEMA number</w:t>
            </w:r>
          </w:p>
        </w:tc>
        <w:tc>
          <w:tcPr>
            <w:tcW w:type="dxa" w:w="2055"/>
            <w:shd w:val="clear" w:color="auto" w:fill="E8E8E8"/>
          </w:tcPr>
          <w:p>
            <w:pPr>
              <w:spacing w:after="0"/>
              <w:jc w:val="left"/>
            </w:pPr>
            <w:r>
              <w:rPr>
                <w:b/>
                <w:sz w:val="16"/>
              </w:rPr>
              <w:t>Type</w:t>
            </w:r>
          </w:p>
        </w:tc>
        <w:tc>
          <w:tcPr>
            <w:tcW w:type="dxa" w:w="3372"/>
            <w:shd w:val="clear" w:color="auto" w:fill="E8E8E8"/>
          </w:tcPr>
          <w:p>
            <w:pPr>
              <w:spacing w:after="0"/>
              <w:jc w:val="left"/>
            </w:pPr>
            <w:r>
              <w:rPr>
                <w:b/>
                <w:sz w:val="16"/>
              </w:rPr>
              <w:t>Title</w:t>
            </w:r>
          </w:p>
        </w:tc>
        <w:tc>
          <w:tcPr>
            <w:tcW w:type="dxa" w:w="2187"/>
            <w:shd w:val="clear" w:color="auto" w:fill="E8E8E8"/>
          </w:tcPr>
          <w:p>
            <w:pPr>
              <w:spacing w:after="0"/>
              <w:jc w:val="left"/>
            </w:pPr>
            <w:r>
              <w:rPr>
                <w:b/>
                <w:sz w:val="16"/>
              </w:rPr>
              <w:t>Mapped hazard</w:t>
            </w:r>
          </w:p>
        </w:tc>
        <w:tc>
          <w:tcPr>
            <w:tcW w:type="dxa" w:w="956"/>
            <w:shd w:val="clear" w:color="auto" w:fill="E8E8E8"/>
          </w:tcPr>
          <w:p>
            <w:pPr>
              <w:spacing w:after="0"/>
              <w:jc w:val="left"/>
            </w:pPr>
            <w:r>
              <w:rPr>
                <w:b/>
                <w:sz w:val="16"/>
              </w:rPr>
              <w:t>Flags</w:t>
            </w:r>
          </w:p>
        </w:tc>
        <w:tc>
          <w:tcPr>
            <w:tcW w:type="dxa" w:w="956"/>
            <w:shd w:val="clear" w:color="auto" w:fill="E8E8E8"/>
          </w:tcPr>
          <w:p>
            <w:pPr>
              <w:spacing w:after="0"/>
              <w:jc w:val="left"/>
            </w:pPr>
            <w:r>
              <w:rPr>
                <w:b/>
                <w:sz w:val="16"/>
              </w:rPr>
              <w:t>Notes</w:t>
            </w:r>
          </w:p>
        </w:tc>
      </w:tr>
      <w:tr>
        <w:trPr>
          <w:cantSplit/>
        </w:trPr>
        <w:tc>
          <w:tcPr>
            <w:tcW w:type="dxa" w:w="1529"/>
          </w:tcPr>
          <w:p>
            <w:pPr>
              <w:spacing w:after="0"/>
              <w:jc w:val="left"/>
            </w:pPr>
            <w:r>
              <w:rPr>
                <w:sz w:val="16"/>
              </w:rPr>
              <w:t>2002-06-13</w:t>
            </w:r>
          </w:p>
        </w:tc>
        <w:tc>
          <w:tcPr>
            <w:tcW w:type="dxa" w:w="1529"/>
          </w:tcPr>
          <w:p>
            <w:pPr>
              <w:spacing w:after="0"/>
              <w:jc w:val="left"/>
            </w:pPr>
            <w:r>
              <w:rPr>
                <w:sz w:val="16"/>
              </w:rPr>
              <w:t>2002-04-28</w:t>
            </w:r>
          </w:p>
        </w:tc>
        <w:tc>
          <w:tcPr>
            <w:tcW w:type="dxa" w:w="1529"/>
          </w:tcPr>
          <w:p>
            <w:pPr>
              <w:spacing w:after="0"/>
              <w:jc w:val="left"/>
            </w:pPr>
            <w:r>
              <w:rPr>
                <w:sz w:val="16"/>
              </w:rPr>
              <w:t>DR-1418-IN</w:t>
            </w:r>
          </w:p>
        </w:tc>
        <w:tc>
          <w:tcPr>
            <w:tcW w:type="dxa" w:w="2055"/>
          </w:tcPr>
          <w:p>
            <w:pPr>
              <w:spacing w:after="0"/>
              <w:jc w:val="left"/>
            </w:pPr>
            <w:r>
              <w:rPr>
                <w:sz w:val="16"/>
              </w:rPr>
              <w:t>Major disaster</w:t>
            </w:r>
          </w:p>
        </w:tc>
        <w:tc>
          <w:tcPr>
            <w:tcW w:type="dxa" w:w="3372"/>
          </w:tcPr>
          <w:p>
            <w:pPr>
              <w:spacing w:after="0"/>
              <w:jc w:val="left"/>
            </w:pPr>
            <w:r>
              <w:rPr>
                <w:sz w:val="16"/>
              </w:rPr>
              <w:t>SEVERE STORMS, TORNADOES AND FLOODING</w:t>
            </w:r>
          </w:p>
        </w:tc>
        <w:tc>
          <w:tcPr>
            <w:tcW w:type="dxa" w:w="2187"/>
          </w:tcPr>
          <w:p>
            <w:pPr>
              <w:spacing w:after="0"/>
              <w:jc w:val="left"/>
            </w:pPr>
            <w:r>
              <w:rPr>
                <w:sz w:val="16"/>
              </w:rPr>
              <w:t>Inland Flooding; Tornado</w:t>
            </w:r>
          </w:p>
        </w:tc>
        <w:tc>
          <w:tcPr>
            <w:tcW w:type="dxa" w:w="956"/>
          </w:tcPr>
          <w:p>
            <w:pPr>
              <w:spacing w:after="0"/>
              <w:jc w:val="left"/>
            </w:pPr>
          </w:p>
        </w:tc>
        <w:tc>
          <w:tcPr>
            <w:tcW w:type="dxa" w:w="956"/>
          </w:tcPr>
          <w:p>
            <w:pPr>
              <w:spacing w:after="0"/>
              <w:jc w:val="left"/>
            </w:pPr>
          </w:p>
        </w:tc>
      </w:tr>
      <w:tr>
        <w:trPr>
          <w:cantSplit/>
        </w:trPr>
        <w:tc>
          <w:tcPr>
            <w:tcW w:type="dxa" w:w="1529"/>
          </w:tcPr>
          <w:p>
            <w:pPr>
              <w:spacing w:after="0"/>
              <w:jc w:val="left"/>
            </w:pPr>
            <w:r>
              <w:rPr>
                <w:sz w:val="16"/>
              </w:rPr>
              <w:t>1964-03-17</w:t>
            </w:r>
          </w:p>
        </w:tc>
        <w:tc>
          <w:tcPr>
            <w:tcW w:type="dxa" w:w="1529"/>
          </w:tcPr>
          <w:p>
            <w:pPr>
              <w:spacing w:after="0"/>
              <w:jc w:val="left"/>
            </w:pPr>
            <w:r>
              <w:rPr>
                <w:sz w:val="16"/>
              </w:rPr>
              <w:t>1964-03-17</w:t>
            </w:r>
          </w:p>
        </w:tc>
        <w:tc>
          <w:tcPr>
            <w:tcW w:type="dxa" w:w="1529"/>
          </w:tcPr>
          <w:p>
            <w:pPr>
              <w:spacing w:after="0"/>
              <w:jc w:val="left"/>
            </w:pPr>
            <w:r>
              <w:rPr>
                <w:sz w:val="16"/>
              </w:rPr>
              <w:t>DR-162-IN</w:t>
            </w:r>
          </w:p>
        </w:tc>
        <w:tc>
          <w:tcPr>
            <w:tcW w:type="dxa" w:w="2055"/>
          </w:tcPr>
          <w:p>
            <w:pPr>
              <w:spacing w:after="0"/>
              <w:jc w:val="left"/>
            </w:pPr>
            <w:r>
              <w:rPr>
                <w:sz w:val="16"/>
              </w:rPr>
              <w:t>Major disaster</w:t>
            </w:r>
          </w:p>
        </w:tc>
        <w:tc>
          <w:tcPr>
            <w:tcW w:type="dxa" w:w="3372"/>
          </w:tcPr>
          <w:p>
            <w:pPr>
              <w:spacing w:after="0"/>
              <w:jc w:val="left"/>
            </w:pPr>
            <w:r>
              <w:rPr>
                <w:sz w:val="16"/>
              </w:rPr>
              <w:t>SEVERE STORMS &amp; FLOODING</w:t>
            </w:r>
          </w:p>
        </w:tc>
        <w:tc>
          <w:tcPr>
            <w:tcW w:type="dxa" w:w="2187"/>
          </w:tcPr>
          <w:p>
            <w:pPr>
              <w:spacing w:after="0"/>
              <w:jc w:val="left"/>
            </w:pPr>
            <w:r>
              <w:rPr>
                <w:sz w:val="16"/>
              </w:rPr>
              <w:t>Inland Flooding</w:t>
            </w:r>
          </w:p>
        </w:tc>
        <w:tc>
          <w:tcPr>
            <w:tcW w:type="dxa" w:w="956"/>
          </w:tcPr>
          <w:p>
            <w:pPr>
              <w:spacing w:after="0"/>
              <w:jc w:val="left"/>
            </w:pPr>
          </w:p>
        </w:tc>
        <w:tc>
          <w:tcPr>
            <w:tcW w:type="dxa" w:w="956"/>
          </w:tcPr>
          <w:p>
            <w:pPr>
              <w:spacing w:after="0"/>
              <w:jc w:val="left"/>
            </w:pPr>
          </w:p>
        </w:tc>
      </w:tr>
      <w:tr>
        <w:trPr>
          <w:cantSplit/>
        </w:trPr>
        <w:tc>
          <w:tcPr>
            <w:tcW w:type="dxa" w:w="1529"/>
          </w:tcPr>
          <w:p>
            <w:pPr>
              <w:spacing w:after="0"/>
              <w:jc w:val="left"/>
            </w:pPr>
            <w:r>
              <w:rPr>
                <w:sz w:val="16"/>
              </w:rPr>
              <w:t>1961-05-20</w:t>
            </w:r>
          </w:p>
        </w:tc>
        <w:tc>
          <w:tcPr>
            <w:tcW w:type="dxa" w:w="1529"/>
          </w:tcPr>
          <w:p>
            <w:pPr>
              <w:spacing w:after="0"/>
              <w:jc w:val="left"/>
            </w:pPr>
            <w:r>
              <w:rPr>
                <w:sz w:val="16"/>
              </w:rPr>
              <w:t>1961-05-20</w:t>
            </w:r>
          </w:p>
        </w:tc>
        <w:tc>
          <w:tcPr>
            <w:tcW w:type="dxa" w:w="1529"/>
          </w:tcPr>
          <w:p>
            <w:pPr>
              <w:spacing w:after="0"/>
              <w:jc w:val="left"/>
            </w:pPr>
            <w:r>
              <w:rPr>
                <w:sz w:val="16"/>
              </w:rPr>
              <w:t>DR-113-IN</w:t>
            </w:r>
          </w:p>
        </w:tc>
        <w:tc>
          <w:tcPr>
            <w:tcW w:type="dxa" w:w="2055"/>
          </w:tcPr>
          <w:p>
            <w:pPr>
              <w:spacing w:after="0"/>
              <w:jc w:val="left"/>
            </w:pPr>
            <w:r>
              <w:rPr>
                <w:sz w:val="16"/>
              </w:rPr>
              <w:t>Major disaster</w:t>
            </w:r>
          </w:p>
        </w:tc>
        <w:tc>
          <w:tcPr>
            <w:tcW w:type="dxa" w:w="3372"/>
          </w:tcPr>
          <w:p>
            <w:pPr>
              <w:spacing w:after="0"/>
              <w:jc w:val="left"/>
            </w:pPr>
            <w:r>
              <w:rPr>
                <w:sz w:val="16"/>
              </w:rPr>
              <w:t>FLOODS</w:t>
            </w:r>
          </w:p>
        </w:tc>
        <w:tc>
          <w:tcPr>
            <w:tcW w:type="dxa" w:w="2187"/>
          </w:tcPr>
          <w:p>
            <w:pPr>
              <w:spacing w:after="0"/>
              <w:jc w:val="left"/>
            </w:pPr>
            <w:r>
              <w:rPr>
                <w:sz w:val="16"/>
              </w:rPr>
              <w:t>Inland Flooding</w:t>
            </w:r>
          </w:p>
        </w:tc>
        <w:tc>
          <w:tcPr>
            <w:tcW w:type="dxa" w:w="956"/>
          </w:tcPr>
          <w:p>
            <w:pPr>
              <w:spacing w:after="0"/>
              <w:jc w:val="left"/>
            </w:pPr>
          </w:p>
        </w:tc>
        <w:tc>
          <w:tcPr>
            <w:tcW w:type="dxa" w:w="956"/>
          </w:tcPr>
          <w:p>
            <w:pPr>
              <w:spacing w:after="0"/>
              <w:jc w:val="left"/>
            </w:pPr>
          </w:p>
        </w:tc>
      </w:tr>
      <w:tr>
        <w:trPr>
          <w:cantSplit/>
        </w:trPr>
        <w:tc>
          <w:tcPr>
            <w:tcW w:type="dxa" w:w="1529"/>
          </w:tcPr>
          <w:p>
            <w:pPr>
              <w:spacing w:after="0"/>
              <w:jc w:val="left"/>
            </w:pPr>
            <w:r>
              <w:rPr>
                <w:sz w:val="16"/>
              </w:rPr>
              <w:t>1954-10-26</w:t>
            </w:r>
          </w:p>
        </w:tc>
        <w:tc>
          <w:tcPr>
            <w:tcW w:type="dxa" w:w="1529"/>
          </w:tcPr>
          <w:p>
            <w:pPr>
              <w:spacing w:after="0"/>
              <w:jc w:val="left"/>
            </w:pPr>
            <w:r>
              <w:rPr>
                <w:sz w:val="16"/>
              </w:rPr>
              <w:t>1954-10-26</w:t>
            </w:r>
          </w:p>
        </w:tc>
        <w:tc>
          <w:tcPr>
            <w:tcW w:type="dxa" w:w="1529"/>
          </w:tcPr>
          <w:p>
            <w:pPr>
              <w:spacing w:after="0"/>
              <w:jc w:val="left"/>
            </w:pPr>
            <w:r>
              <w:rPr>
                <w:sz w:val="16"/>
              </w:rPr>
              <w:t>DR-30-IN</w:t>
            </w:r>
          </w:p>
        </w:tc>
        <w:tc>
          <w:tcPr>
            <w:tcW w:type="dxa" w:w="2055"/>
          </w:tcPr>
          <w:p>
            <w:pPr>
              <w:spacing w:after="0"/>
              <w:jc w:val="left"/>
            </w:pPr>
            <w:r>
              <w:rPr>
                <w:sz w:val="16"/>
              </w:rPr>
              <w:t>Major disaster</w:t>
            </w:r>
          </w:p>
        </w:tc>
        <w:tc>
          <w:tcPr>
            <w:tcW w:type="dxa" w:w="3372"/>
          </w:tcPr>
          <w:p>
            <w:pPr>
              <w:spacing w:after="0"/>
              <w:jc w:val="left"/>
            </w:pPr>
            <w:r>
              <w:rPr>
                <w:sz w:val="16"/>
              </w:rPr>
              <w:t>FLOOD</w:t>
            </w:r>
          </w:p>
        </w:tc>
        <w:tc>
          <w:tcPr>
            <w:tcW w:type="dxa" w:w="2187"/>
          </w:tcPr>
          <w:p>
            <w:pPr>
              <w:spacing w:after="0"/>
              <w:jc w:val="left"/>
            </w:pPr>
            <w:r>
              <w:rPr>
                <w:sz w:val="16"/>
              </w:rPr>
              <w:t>Inland Flooding</w:t>
            </w:r>
          </w:p>
        </w:tc>
        <w:tc>
          <w:tcPr>
            <w:tcW w:type="dxa" w:w="956"/>
          </w:tcPr>
          <w:p>
            <w:pPr>
              <w:spacing w:after="0"/>
              <w:jc w:val="left"/>
            </w:pPr>
          </w:p>
        </w:tc>
        <w:tc>
          <w:tcPr>
            <w:tcW w:type="dxa" w:w="956"/>
          </w:tcPr>
          <w:p>
            <w:pPr>
              <w:spacing w:after="0"/>
              <w:jc w:val="left"/>
            </w:pPr>
          </w:p>
        </w:tc>
      </w:tr>
    </w:tbl>
    <w:p>
      <w:pPr>
        <w:spacing w:after="40" w:before="60"/>
      </w:pPr>
      <w:r>
        <w:rPr>
          <w:sz w:val="15"/>
        </w:rPr>
        <w:t>FEMA recorded these with designated area Statewide and no county. Listed on every county page in the state; not counted with county rows.</w:t>
      </w:r>
    </w:p>
    <w:p>
      <w:pPr>
        <w:spacing w:after="20" w:before="0"/>
      </w:pPr>
      <w:r>
        <w:rPr>
          <w:b/>
          <w:color w:val="555555"/>
          <w:sz w:val="15"/>
        </w:rPr>
        <w:t xml:space="preserve">Source: </w:t>
      </w:r>
      <w:r>
        <w:rPr>
          <w:color w:val="555555"/>
          <w:sz w:val="15"/>
        </w:rPr>
        <w:t xml:space="preserve">FEMA, </w:t>
      </w:r>
      <w:hyperlink r:id="rId18">
        <w:r>
          <w:rPr>
            <w:color w:val="1F4E99"/>
            <w:sz w:val="15"/>
            <w:u w:val="single"/>
          </w:rPr>
          <w:t>OpenFEMA DisasterDeclarationsSummaries v2</w:t>
        </w:r>
      </w:hyperlink>
      <w:r>
        <w:rPr>
          <w:color w:val="555555"/>
          <w:sz w:val="15"/>
        </w:rPr>
        <w:t xml:space="preserve">, version 2026-09-27T010817Z, pulled 2026-09-28, </w:t>
      </w:r>
      <w:hyperlink r:id="rId19">
        <w:r>
          <w:rPr>
            <w:color w:val="1F4E99"/>
            <w:sz w:val="15"/>
            <w:u w:val="single"/>
          </w:rPr>
          <w:t>https://www.fema.gov/api/open/v2/DisasterDeclarationsSummaries</w:t>
        </w:r>
      </w:hyperlink>
      <w:r>
        <w:rPr>
          <w:color w:val="555555"/>
          <w:sz w:val="15"/>
        </w:rPr>
        <w:t xml:space="preserve"> (API)</w:t>
      </w:r>
    </w:p>
    <w:p>
      <w:pPr>
        <w:spacing w:after="80" w:before="0"/>
      </w:pPr>
    </w:p>
    <w:p>
      <w:pPr>
        <w:pStyle w:val="Heading3"/>
        <w:keepNext/>
        <w:spacing w:after="80"/>
      </w:pPr>
      <w:r>
        <w:rPr/>
        <w:t>Previous occurrences by hazard, with explicit no-event rows</w:t>
      </w:r>
    </w:p>
    <w:tbl>
      <w:tblPr>
        <w:tblW w:type="auto" w:w="0"/>
        <w:jc w:val="left"/>
        <w:tblBorders>
          <w:top w:val="single" w:sz="4" w:space="0" w:color="808080"/>
          <w:left w:val="single" w:sz="4" w:space="0" w:color="808080"/>
          <w:bottom w:val="single" w:sz="4" w:space="0" w:color="808080"/>
          <w:right w:val="single" w:sz="4" w:space="0" w:color="808080"/>
          <w:insideH w:val="single" w:sz="4" w:space="0" w:color="808080"/>
          <w:insideV w:val="single" w:sz="4" w:space="0" w:color="808080"/>
        </w:tblBorders>
        <w:tblLayout w:type="fixed"/>
        <w:tblCellMar>
          <w:top w:w="15" w:type="dxa"/>
          <w:left w:w="60" w:type="dxa"/>
          <w:bottom w:w="15" w:type="dxa"/>
          <w:right w:w="60" w:type="dxa"/>
        </w:tblCellMar>
        <w:tblLook w:firstColumn="1" w:firstRow="1" w:lastColumn="0" w:lastRow="0" w:noHBand="0" w:noVBand="1" w:val="04A0"/>
        <w:tblCaption w:val="Previous occurrences by hazard, with explicit no-event rows"/>
        <w:tblDescription w:val="Hazard Plain table b1d_summary"/>
      </w:tblPr>
      <w:tblGrid>
        <w:gridCol w:w="1269"/>
        <w:gridCol w:w="1487"/>
        <w:gridCol w:w="1422"/>
        <w:gridCol w:w="1356"/>
        <w:gridCol w:w="963"/>
        <w:gridCol w:w="1356"/>
        <w:gridCol w:w="1684"/>
        <w:gridCol w:w="2143"/>
        <w:gridCol w:w="2434"/>
      </w:tblGrid>
      <w:tr>
        <w:trPr>
          <w:cantSplit/>
          <w:tblHeader/>
        </w:trPr>
        <w:tc>
          <w:tcPr>
            <w:tcW w:type="dxa" w:w="1269"/>
            <w:shd w:val="clear" w:color="auto" w:fill="E8E8E8"/>
          </w:tcPr>
          <w:p>
            <w:pPr>
              <w:spacing w:after="0"/>
              <w:jc w:val="left"/>
            </w:pPr>
            <w:r>
              <w:rPr>
                <w:b/>
                <w:sz w:val="16"/>
              </w:rPr>
              <w:t>Hazard</w:t>
            </w:r>
          </w:p>
        </w:tc>
        <w:tc>
          <w:tcPr>
            <w:tcW w:type="dxa" w:w="1487"/>
            <w:shd w:val="clear" w:color="auto" w:fill="E8E8E8"/>
          </w:tcPr>
          <w:p>
            <w:pPr>
              <w:spacing w:after="0"/>
              <w:jc w:val="right"/>
            </w:pPr>
            <w:r>
              <w:rPr>
                <w:b/>
                <w:sz w:val="16"/>
              </w:rPr>
              <w:t>Storm Events records</w:t>
            </w:r>
          </w:p>
          <w:p>
            <w:pPr>
              <w:spacing w:after="0"/>
              <w:jc w:val="right"/>
            </w:pPr>
            <w:r>
              <w:rPr>
                <w:i/>
                <w:color w:val="555555"/>
                <w:sz w:val="14"/>
              </w:rPr>
              <w:t>full period</w:t>
            </w:r>
          </w:p>
        </w:tc>
        <w:tc>
          <w:tcPr>
            <w:tcW w:type="dxa" w:w="1422"/>
            <w:shd w:val="clear" w:color="auto" w:fill="E8E8E8"/>
          </w:tcPr>
          <w:p>
            <w:pPr>
              <w:spacing w:after="0"/>
              <w:jc w:val="right"/>
            </w:pPr>
            <w:r>
              <w:rPr>
                <w:b/>
                <w:sz w:val="16"/>
              </w:rPr>
              <w:t>Since plan approval</w:t>
            </w:r>
          </w:p>
          <w:p>
            <w:pPr>
              <w:spacing w:after="0"/>
              <w:jc w:val="right"/>
            </w:pPr>
            <w:r>
              <w:rPr>
                <w:i/>
                <w:color w:val="555555"/>
                <w:sz w:val="14"/>
              </w:rPr>
              <w:t>records</w:t>
            </w:r>
          </w:p>
        </w:tc>
        <w:tc>
          <w:tcPr>
            <w:tcW w:type="dxa" w:w="1356"/>
            <w:shd w:val="clear" w:color="auto" w:fill="E8E8E8"/>
          </w:tcPr>
          <w:p>
            <w:pPr>
              <w:spacing w:after="0"/>
              <w:jc w:val="right"/>
            </w:pPr>
            <w:r>
              <w:rPr>
                <w:b/>
                <w:sz w:val="16"/>
              </w:rPr>
              <w:t>During plan review</w:t>
            </w:r>
          </w:p>
          <w:p>
            <w:pPr>
              <w:spacing w:after="0"/>
              <w:jc w:val="right"/>
            </w:pPr>
            <w:r>
              <w:rPr>
                <w:i/>
                <w:color w:val="555555"/>
                <w:sz w:val="14"/>
              </w:rPr>
              <w:t>records</w:t>
            </w:r>
          </w:p>
        </w:tc>
        <w:tc>
          <w:tcPr>
            <w:tcW w:type="dxa" w:w="963"/>
            <w:shd w:val="clear" w:color="auto" w:fill="E8E8E8"/>
          </w:tcPr>
          <w:p>
            <w:pPr>
              <w:spacing w:after="0"/>
              <w:jc w:val="right"/>
            </w:pPr>
            <w:r>
              <w:rPr>
                <w:b/>
                <w:sz w:val="16"/>
              </w:rPr>
              <w:t>Last 5 years</w:t>
            </w:r>
          </w:p>
          <w:p>
            <w:pPr>
              <w:spacing w:after="0"/>
              <w:jc w:val="right"/>
            </w:pPr>
            <w:r>
              <w:rPr>
                <w:i/>
                <w:color w:val="555555"/>
                <w:sz w:val="14"/>
              </w:rPr>
              <w:t>records</w:t>
            </w:r>
          </w:p>
        </w:tc>
        <w:tc>
          <w:tcPr>
            <w:tcW w:type="dxa" w:w="1356"/>
            <w:shd w:val="clear" w:color="auto" w:fill="E8E8E8"/>
          </w:tcPr>
          <w:p>
            <w:pPr>
              <w:spacing w:after="0"/>
              <w:jc w:val="right"/>
            </w:pPr>
            <w:r>
              <w:rPr>
                <w:b/>
                <w:sz w:val="16"/>
              </w:rPr>
              <w:t>Declared incidents</w:t>
            </w:r>
          </w:p>
          <w:p>
            <w:pPr>
              <w:spacing w:after="0"/>
              <w:jc w:val="right"/>
            </w:pPr>
            <w:r>
              <w:rPr>
                <w:i/>
                <w:color w:val="555555"/>
                <w:sz w:val="14"/>
              </w:rPr>
              <w:t>distinct incidents</w:t>
            </w:r>
          </w:p>
        </w:tc>
        <w:tc>
          <w:tcPr>
            <w:tcW w:type="dxa" w:w="1684"/>
            <w:shd w:val="clear" w:color="auto" w:fill="E8E8E8"/>
          </w:tcPr>
          <w:p>
            <w:pPr>
              <w:spacing w:after="0"/>
              <w:jc w:val="right"/>
            </w:pPr>
            <w:r>
              <w:rPr>
                <w:b/>
                <w:sz w:val="16"/>
              </w:rPr>
              <w:t>Declared since approval</w:t>
            </w:r>
          </w:p>
          <w:p>
            <w:pPr>
              <w:spacing w:after="0"/>
              <w:jc w:val="right"/>
            </w:pPr>
            <w:r>
              <w:rPr>
                <w:i/>
                <w:color w:val="555555"/>
                <w:sz w:val="14"/>
              </w:rPr>
              <w:t>distinct incidents</w:t>
            </w:r>
          </w:p>
        </w:tc>
        <w:tc>
          <w:tcPr>
            <w:tcW w:type="dxa" w:w="2143"/>
            <w:shd w:val="clear" w:color="auto" w:fill="E8E8E8"/>
          </w:tcPr>
          <w:p>
            <w:pPr>
              <w:spacing w:after="0"/>
              <w:jc w:val="left"/>
            </w:pPr>
            <w:r>
              <w:rPr>
                <w:b/>
                <w:sz w:val="16"/>
              </w:rPr>
              <w:t>Period</w:t>
            </w:r>
          </w:p>
        </w:tc>
        <w:tc>
          <w:tcPr>
            <w:tcW w:type="dxa" w:w="2434"/>
            <w:shd w:val="clear" w:color="auto" w:fill="E8E8E8"/>
          </w:tcPr>
          <w:p>
            <w:pPr>
              <w:spacing w:after="0"/>
              <w:jc w:val="left"/>
            </w:pPr>
            <w:r>
              <w:rPr>
                <w:b/>
                <w:sz w:val="16"/>
              </w:rPr>
              <w:t>Statement</w:t>
            </w:r>
          </w:p>
        </w:tc>
      </w:tr>
      <w:tr>
        <w:trPr>
          <w:cantSplit/>
        </w:trPr>
        <w:tc>
          <w:tcPr>
            <w:tcW w:type="dxa" w:w="1269"/>
          </w:tcPr>
          <w:p>
            <w:pPr>
              <w:spacing w:after="0"/>
              <w:jc w:val="left"/>
            </w:pPr>
            <w:r>
              <w:rPr>
                <w:sz w:val="16"/>
              </w:rPr>
              <w:t>Avalanche</w:t>
            </w:r>
          </w:p>
        </w:tc>
        <w:tc>
          <w:tcPr>
            <w:tcW w:type="dxa" w:w="1487"/>
          </w:tcPr>
          <w:p>
            <w:pPr>
              <w:spacing w:after="0"/>
              <w:jc w:val="right"/>
            </w:pPr>
            <w:r>
              <w:rPr>
                <w:sz w:val="16"/>
              </w:rPr>
              <w:t>0</w:t>
            </w:r>
          </w:p>
        </w:tc>
        <w:tc>
          <w:tcPr>
            <w:tcW w:type="dxa" w:w="1422"/>
          </w:tcPr>
          <w:p>
            <w:pPr>
              <w:spacing w:after="0"/>
              <w:jc w:val="right"/>
            </w:pPr>
            <w:r>
              <w:rPr>
                <w:sz w:val="16"/>
              </w:rPr>
              <w:t>0</w:t>
            </w:r>
          </w:p>
        </w:tc>
        <w:tc>
          <w:tcPr>
            <w:tcW w:type="dxa" w:w="1356"/>
          </w:tcPr>
          <w:p>
            <w:pPr>
              <w:spacing w:after="0"/>
              <w:jc w:val="right"/>
            </w:pPr>
            <w:r>
              <w:rPr>
                <w:sz w:val="16"/>
              </w:rPr>
              <w:t>0</w:t>
            </w:r>
          </w:p>
        </w:tc>
        <w:tc>
          <w:tcPr>
            <w:tcW w:type="dxa" w:w="963"/>
          </w:tcPr>
          <w:p>
            <w:pPr>
              <w:spacing w:after="0"/>
              <w:jc w:val="right"/>
            </w:pPr>
            <w:r>
              <w:rPr>
                <w:sz w:val="16"/>
              </w:rPr>
              <w:t>0</w:t>
            </w:r>
          </w:p>
        </w:tc>
        <w:tc>
          <w:tcPr>
            <w:tcW w:type="dxa" w:w="1356"/>
          </w:tcPr>
          <w:p>
            <w:pPr>
              <w:spacing w:after="0"/>
              <w:jc w:val="right"/>
            </w:pPr>
            <w:r>
              <w:rPr>
                <w:sz w:val="16"/>
              </w:rPr>
              <w:t>0</w:t>
            </w:r>
          </w:p>
        </w:tc>
        <w:tc>
          <w:tcPr>
            <w:tcW w:type="dxa" w:w="1684"/>
          </w:tcPr>
          <w:p>
            <w:pPr>
              <w:spacing w:after="0"/>
              <w:jc w:val="right"/>
            </w:pPr>
            <w:r>
              <w:rPr>
                <w:sz w:val="16"/>
              </w:rPr>
              <w:t>0</w:t>
            </w:r>
          </w:p>
        </w:tc>
        <w:tc>
          <w:tcPr>
            <w:tcW w:type="dxa" w:w="2143"/>
          </w:tcPr>
          <w:p>
            <w:pPr>
              <w:spacing w:after="0"/>
              <w:jc w:val="left"/>
            </w:pPr>
            <w:r>
              <w:rPr>
                <w:sz w:val="16"/>
              </w:rPr>
              <w:t>1996 to 2026-06-30</w:t>
            </w:r>
          </w:p>
        </w:tc>
        <w:tc>
          <w:tcPr>
            <w:tcW w:type="dxa" w:w="2434"/>
          </w:tcPr>
          <w:p>
            <w:pPr>
              <w:spacing w:after="0"/>
              <w:jc w:val="left"/>
            </w:pPr>
            <w:r>
              <w:rPr>
                <w:sz w:val="16"/>
              </w:rPr>
              <w:t>No recorded events, 1996 to 2026-06-30, NOAA NCEI Storm Events</w:t>
            </w:r>
          </w:p>
        </w:tc>
      </w:tr>
      <w:tr>
        <w:trPr>
          <w:cantSplit/>
        </w:trPr>
        <w:tc>
          <w:tcPr>
            <w:tcW w:type="dxa" w:w="1269"/>
          </w:tcPr>
          <w:p>
            <w:pPr>
              <w:spacing w:after="0"/>
              <w:jc w:val="left"/>
            </w:pPr>
            <w:r>
              <w:rPr>
                <w:sz w:val="16"/>
              </w:rPr>
              <w:t>Coastal Flooding</w:t>
            </w:r>
          </w:p>
        </w:tc>
        <w:tc>
          <w:tcPr>
            <w:tcW w:type="dxa" w:w="1487"/>
          </w:tcPr>
          <w:p>
            <w:pPr>
              <w:spacing w:after="0"/>
              <w:jc w:val="right"/>
            </w:pPr>
            <w:r>
              <w:rPr>
                <w:sz w:val="16"/>
              </w:rPr>
              <w:t>0</w:t>
            </w:r>
          </w:p>
        </w:tc>
        <w:tc>
          <w:tcPr>
            <w:tcW w:type="dxa" w:w="1422"/>
          </w:tcPr>
          <w:p>
            <w:pPr>
              <w:spacing w:after="0"/>
              <w:jc w:val="right"/>
            </w:pPr>
            <w:r>
              <w:rPr>
                <w:sz w:val="16"/>
              </w:rPr>
              <w:t>0</w:t>
            </w:r>
          </w:p>
        </w:tc>
        <w:tc>
          <w:tcPr>
            <w:tcW w:type="dxa" w:w="1356"/>
          </w:tcPr>
          <w:p>
            <w:pPr>
              <w:spacing w:after="0"/>
              <w:jc w:val="right"/>
            </w:pPr>
            <w:r>
              <w:rPr>
                <w:sz w:val="16"/>
              </w:rPr>
              <w:t>0</w:t>
            </w:r>
          </w:p>
        </w:tc>
        <w:tc>
          <w:tcPr>
            <w:tcW w:type="dxa" w:w="963"/>
          </w:tcPr>
          <w:p>
            <w:pPr>
              <w:spacing w:after="0"/>
              <w:jc w:val="right"/>
            </w:pPr>
            <w:r>
              <w:rPr>
                <w:sz w:val="16"/>
              </w:rPr>
              <w:t>0</w:t>
            </w:r>
          </w:p>
        </w:tc>
        <w:tc>
          <w:tcPr>
            <w:tcW w:type="dxa" w:w="1356"/>
          </w:tcPr>
          <w:p>
            <w:pPr>
              <w:spacing w:after="0"/>
              <w:jc w:val="right"/>
            </w:pPr>
            <w:r>
              <w:rPr>
                <w:sz w:val="16"/>
              </w:rPr>
              <w:t>0</w:t>
            </w:r>
          </w:p>
        </w:tc>
        <w:tc>
          <w:tcPr>
            <w:tcW w:type="dxa" w:w="1684"/>
          </w:tcPr>
          <w:p>
            <w:pPr>
              <w:spacing w:after="0"/>
              <w:jc w:val="right"/>
            </w:pPr>
            <w:r>
              <w:rPr>
                <w:sz w:val="16"/>
              </w:rPr>
              <w:t>0</w:t>
            </w:r>
          </w:p>
        </w:tc>
        <w:tc>
          <w:tcPr>
            <w:tcW w:type="dxa" w:w="2143"/>
          </w:tcPr>
          <w:p>
            <w:pPr>
              <w:spacing w:after="0"/>
              <w:jc w:val="left"/>
            </w:pPr>
            <w:r>
              <w:rPr>
                <w:sz w:val="16"/>
              </w:rPr>
              <w:t>1996 to 2026-06-30</w:t>
            </w:r>
          </w:p>
        </w:tc>
        <w:tc>
          <w:tcPr>
            <w:tcW w:type="dxa" w:w="2434"/>
          </w:tcPr>
          <w:p>
            <w:pPr>
              <w:spacing w:after="0"/>
              <w:jc w:val="left"/>
            </w:pPr>
            <w:r>
              <w:rPr>
                <w:sz w:val="16"/>
              </w:rPr>
              <w:t>No recorded events, 1996 to 2026-06-30, NOAA NCEI Storm Events</w:t>
            </w:r>
          </w:p>
        </w:tc>
      </w:tr>
      <w:tr>
        <w:trPr>
          <w:cantSplit/>
        </w:trPr>
        <w:tc>
          <w:tcPr>
            <w:tcW w:type="dxa" w:w="1269"/>
          </w:tcPr>
          <w:p>
            <w:pPr>
              <w:spacing w:after="0"/>
              <w:jc w:val="left"/>
            </w:pPr>
            <w:r>
              <w:rPr>
                <w:sz w:val="16"/>
              </w:rPr>
              <w:t>Cold Wave</w:t>
            </w:r>
          </w:p>
        </w:tc>
        <w:tc>
          <w:tcPr>
            <w:tcW w:type="dxa" w:w="1487"/>
          </w:tcPr>
          <w:p>
            <w:pPr>
              <w:spacing w:after="0"/>
              <w:jc w:val="right"/>
            </w:pPr>
            <w:r>
              <w:rPr>
                <w:sz w:val="16"/>
              </w:rPr>
              <w:t>72</w:t>
            </w:r>
          </w:p>
        </w:tc>
        <w:tc>
          <w:tcPr>
            <w:tcW w:type="dxa" w:w="1422"/>
          </w:tcPr>
          <w:p>
            <w:pPr>
              <w:spacing w:after="0"/>
              <w:jc w:val="right"/>
            </w:pPr>
            <w:r>
              <w:rPr>
                <w:sz w:val="16"/>
              </w:rPr>
              <w:t>10</w:t>
            </w:r>
          </w:p>
        </w:tc>
        <w:tc>
          <w:tcPr>
            <w:tcW w:type="dxa" w:w="1356"/>
          </w:tcPr>
          <w:p>
            <w:pPr>
              <w:spacing w:after="0"/>
              <w:jc w:val="right"/>
            </w:pPr>
            <w:r>
              <w:rPr>
                <w:sz w:val="16"/>
              </w:rPr>
              <w:t>2</w:t>
            </w:r>
          </w:p>
        </w:tc>
        <w:tc>
          <w:tcPr>
            <w:tcW w:type="dxa" w:w="963"/>
          </w:tcPr>
          <w:p>
            <w:pPr>
              <w:spacing w:after="0"/>
              <w:jc w:val="right"/>
            </w:pPr>
            <w:r>
              <w:rPr>
                <w:sz w:val="16"/>
              </w:rPr>
              <w:t>13</w:t>
            </w:r>
          </w:p>
        </w:tc>
        <w:tc>
          <w:tcPr>
            <w:tcW w:type="dxa" w:w="1356"/>
          </w:tcPr>
          <w:p>
            <w:pPr>
              <w:spacing w:after="0"/>
              <w:jc w:val="right"/>
            </w:pPr>
            <w:r>
              <w:rPr>
                <w:sz w:val="16"/>
              </w:rPr>
              <w:t>0</w:t>
            </w:r>
          </w:p>
        </w:tc>
        <w:tc>
          <w:tcPr>
            <w:tcW w:type="dxa" w:w="1684"/>
          </w:tcPr>
          <w:p>
            <w:pPr>
              <w:spacing w:after="0"/>
              <w:jc w:val="right"/>
            </w:pPr>
            <w:r>
              <w:rPr>
                <w:sz w:val="16"/>
              </w:rPr>
              <w:t>0</w:t>
            </w:r>
          </w:p>
        </w:tc>
        <w:tc>
          <w:tcPr>
            <w:tcW w:type="dxa" w:w="2143"/>
          </w:tcPr>
          <w:p>
            <w:pPr>
              <w:spacing w:after="0"/>
              <w:jc w:val="left"/>
            </w:pPr>
            <w:r>
              <w:rPr>
                <w:sz w:val="16"/>
              </w:rPr>
              <w:t>1996 to 2026-06-30</w:t>
            </w:r>
          </w:p>
        </w:tc>
        <w:tc>
          <w:tcPr>
            <w:tcW w:type="dxa" w:w="2434"/>
          </w:tcPr>
          <w:p>
            <w:pPr>
              <w:spacing w:after="0"/>
              <w:jc w:val="left"/>
            </w:pPr>
            <w:r>
              <w:rPr>
                <w:sz w:val="16"/>
              </w:rPr>
              <w:t>Includes 50 Frost/Freeze records, event types the NRI definition of this hazard leaves out.</w:t>
            </w:r>
          </w:p>
        </w:tc>
      </w:tr>
      <w:tr>
        <w:trPr>
          <w:cantSplit/>
        </w:trPr>
        <w:tc>
          <w:tcPr>
            <w:tcW w:type="dxa" w:w="1269"/>
          </w:tcPr>
          <w:p>
            <w:pPr>
              <w:spacing w:after="0"/>
              <w:jc w:val="left"/>
            </w:pPr>
            <w:r>
              <w:rPr>
                <w:sz w:val="16"/>
              </w:rPr>
              <w:t>Drought</w:t>
            </w:r>
          </w:p>
        </w:tc>
        <w:tc>
          <w:tcPr>
            <w:tcW w:type="dxa" w:w="1487"/>
          </w:tcPr>
          <w:p>
            <w:pPr>
              <w:spacing w:after="0"/>
              <w:jc w:val="right"/>
            </w:pPr>
            <w:r>
              <w:rPr>
                <w:sz w:val="16"/>
              </w:rPr>
              <w:t>22</w:t>
            </w:r>
          </w:p>
        </w:tc>
        <w:tc>
          <w:tcPr>
            <w:tcW w:type="dxa" w:w="1422"/>
          </w:tcPr>
          <w:p>
            <w:pPr>
              <w:spacing w:after="0"/>
              <w:jc w:val="right"/>
            </w:pPr>
            <w:r>
              <w:rPr>
                <w:sz w:val="16"/>
              </w:rPr>
              <w:t>1</w:t>
            </w:r>
          </w:p>
        </w:tc>
        <w:tc>
          <w:tcPr>
            <w:tcW w:type="dxa" w:w="1356"/>
          </w:tcPr>
          <w:p>
            <w:pPr>
              <w:spacing w:after="0"/>
              <w:jc w:val="right"/>
            </w:pPr>
            <w:r>
              <w:rPr>
                <w:sz w:val="16"/>
              </w:rPr>
              <w:t>0</w:t>
            </w:r>
          </w:p>
        </w:tc>
        <w:tc>
          <w:tcPr>
            <w:tcW w:type="dxa" w:w="963"/>
          </w:tcPr>
          <w:p>
            <w:pPr>
              <w:spacing w:after="0"/>
              <w:jc w:val="right"/>
            </w:pPr>
            <w:r>
              <w:rPr>
                <w:sz w:val="16"/>
              </w:rPr>
              <w:t>1</w:t>
            </w:r>
          </w:p>
        </w:tc>
        <w:tc>
          <w:tcPr>
            <w:tcW w:type="dxa" w:w="1356"/>
          </w:tcPr>
          <w:p>
            <w:pPr>
              <w:spacing w:after="0"/>
              <w:jc w:val="right"/>
            </w:pPr>
            <w:r>
              <w:rPr>
                <w:sz w:val="16"/>
              </w:rPr>
              <w:t>0</w:t>
            </w:r>
          </w:p>
        </w:tc>
        <w:tc>
          <w:tcPr>
            <w:tcW w:type="dxa" w:w="1684"/>
          </w:tcPr>
          <w:p>
            <w:pPr>
              <w:spacing w:after="0"/>
              <w:jc w:val="right"/>
            </w:pPr>
            <w:r>
              <w:rPr>
                <w:sz w:val="16"/>
              </w:rPr>
              <w:t>0</w:t>
            </w:r>
          </w:p>
        </w:tc>
        <w:tc>
          <w:tcPr>
            <w:tcW w:type="dxa" w:w="2143"/>
          </w:tcPr>
          <w:p>
            <w:pPr>
              <w:spacing w:after="0"/>
              <w:jc w:val="left"/>
            </w:pPr>
            <w:r>
              <w:rPr>
                <w:sz w:val="16"/>
              </w:rPr>
              <w:t>1996 to 2026-06-30</w:t>
            </w:r>
          </w:p>
        </w:tc>
        <w:tc>
          <w:tcPr>
            <w:tcW w:type="dxa" w:w="2434"/>
          </w:tcPr>
          <w:p>
            <w:pPr>
              <w:spacing w:after="0"/>
              <w:jc w:val="left"/>
            </w:pPr>
          </w:p>
        </w:tc>
      </w:tr>
      <w:tr>
        <w:trPr>
          <w:cantSplit/>
        </w:trPr>
        <w:tc>
          <w:tcPr>
            <w:tcW w:type="dxa" w:w="1269"/>
          </w:tcPr>
          <w:p>
            <w:pPr>
              <w:spacing w:after="0"/>
              <w:jc w:val="left"/>
            </w:pPr>
            <w:r>
              <w:rPr>
                <w:sz w:val="16"/>
              </w:rPr>
              <w:t>Earthquake</w:t>
            </w:r>
          </w:p>
        </w:tc>
        <w:tc>
          <w:tcPr>
            <w:tcW w:type="dxa" w:w="1487"/>
          </w:tcPr>
          <w:p>
            <w:pPr>
              <w:spacing w:after="0"/>
              <w:jc w:val="right"/>
            </w:pPr>
            <w:r>
              <w:rPr>
                <w:sz w:val="16"/>
              </w:rPr>
              <w:t>0</w:t>
            </w:r>
          </w:p>
        </w:tc>
        <w:tc>
          <w:tcPr>
            <w:tcW w:type="dxa" w:w="1422"/>
          </w:tcPr>
          <w:p>
            <w:pPr>
              <w:spacing w:after="0"/>
              <w:jc w:val="right"/>
            </w:pPr>
            <w:r>
              <w:rPr>
                <w:sz w:val="16"/>
              </w:rPr>
              <w:t>0</w:t>
            </w:r>
          </w:p>
        </w:tc>
        <w:tc>
          <w:tcPr>
            <w:tcW w:type="dxa" w:w="1356"/>
          </w:tcPr>
          <w:p>
            <w:pPr>
              <w:spacing w:after="0"/>
              <w:jc w:val="right"/>
            </w:pPr>
            <w:r>
              <w:rPr>
                <w:sz w:val="16"/>
              </w:rPr>
              <w:t>0</w:t>
            </w:r>
          </w:p>
        </w:tc>
        <w:tc>
          <w:tcPr>
            <w:tcW w:type="dxa" w:w="963"/>
          </w:tcPr>
          <w:p>
            <w:pPr>
              <w:spacing w:after="0"/>
              <w:jc w:val="right"/>
            </w:pPr>
            <w:r>
              <w:rPr>
                <w:sz w:val="16"/>
              </w:rPr>
              <w:t>0</w:t>
            </w:r>
          </w:p>
        </w:tc>
        <w:tc>
          <w:tcPr>
            <w:tcW w:type="dxa" w:w="1356"/>
          </w:tcPr>
          <w:p>
            <w:pPr>
              <w:spacing w:after="0"/>
              <w:jc w:val="right"/>
            </w:pPr>
            <w:r>
              <w:rPr>
                <w:sz w:val="16"/>
              </w:rPr>
              <w:t>0</w:t>
            </w:r>
          </w:p>
        </w:tc>
        <w:tc>
          <w:tcPr>
            <w:tcW w:type="dxa" w:w="1684"/>
          </w:tcPr>
          <w:p>
            <w:pPr>
              <w:spacing w:after="0"/>
              <w:jc w:val="right"/>
            </w:pPr>
            <w:r>
              <w:rPr>
                <w:sz w:val="16"/>
              </w:rPr>
              <w:t>0</w:t>
            </w:r>
          </w:p>
        </w:tc>
        <w:tc>
          <w:tcPr>
            <w:tcW w:type="dxa" w:w="2143"/>
          </w:tcPr>
          <w:p>
            <w:pPr>
              <w:spacing w:after="0"/>
              <w:jc w:val="left"/>
            </w:pPr>
          </w:p>
        </w:tc>
        <w:tc>
          <w:tcPr>
            <w:tcW w:type="dxa" w:w="2434"/>
          </w:tcPr>
          <w:p>
            <w:pPr>
              <w:spacing w:after="0"/>
              <w:jc w:val="left"/>
            </w:pPr>
            <w:r>
              <w:rPr>
                <w:sz w:val="16"/>
              </w:rPr>
              <w:t>No Storm Events record; local data required (e.g., USGS).</w:t>
            </w:r>
          </w:p>
        </w:tc>
      </w:tr>
      <w:tr>
        <w:trPr>
          <w:cantSplit/>
        </w:trPr>
        <w:tc>
          <w:tcPr>
            <w:tcW w:type="dxa" w:w="1269"/>
          </w:tcPr>
          <w:p>
            <w:pPr>
              <w:spacing w:after="0"/>
              <w:jc w:val="left"/>
            </w:pPr>
            <w:r>
              <w:rPr>
                <w:sz w:val="16"/>
              </w:rPr>
              <w:t>Hail</w:t>
            </w:r>
          </w:p>
        </w:tc>
        <w:tc>
          <w:tcPr>
            <w:tcW w:type="dxa" w:w="1487"/>
          </w:tcPr>
          <w:p>
            <w:pPr>
              <w:spacing w:after="0"/>
              <w:jc w:val="right"/>
            </w:pPr>
            <w:r>
              <w:rPr>
                <w:sz w:val="16"/>
              </w:rPr>
              <w:t>79</w:t>
            </w:r>
          </w:p>
        </w:tc>
        <w:tc>
          <w:tcPr>
            <w:tcW w:type="dxa" w:w="1422"/>
          </w:tcPr>
          <w:p>
            <w:pPr>
              <w:spacing w:after="0"/>
              <w:jc w:val="right"/>
            </w:pPr>
            <w:r>
              <w:rPr>
                <w:sz w:val="16"/>
              </w:rPr>
              <w:t>9</w:t>
            </w:r>
          </w:p>
        </w:tc>
        <w:tc>
          <w:tcPr>
            <w:tcW w:type="dxa" w:w="1356"/>
          </w:tcPr>
          <w:p>
            <w:pPr>
              <w:spacing w:after="0"/>
              <w:jc w:val="right"/>
            </w:pPr>
            <w:r>
              <w:rPr>
                <w:sz w:val="16"/>
              </w:rPr>
              <w:t>1</w:t>
            </w:r>
          </w:p>
        </w:tc>
        <w:tc>
          <w:tcPr>
            <w:tcW w:type="dxa" w:w="963"/>
          </w:tcPr>
          <w:p>
            <w:pPr>
              <w:spacing w:after="0"/>
              <w:jc w:val="right"/>
            </w:pPr>
            <w:r>
              <w:rPr>
                <w:sz w:val="16"/>
              </w:rPr>
              <w:t>10</w:t>
            </w:r>
          </w:p>
        </w:tc>
        <w:tc>
          <w:tcPr>
            <w:tcW w:type="dxa" w:w="1356"/>
          </w:tcPr>
          <w:p>
            <w:pPr>
              <w:spacing w:after="0"/>
              <w:jc w:val="right"/>
            </w:pPr>
            <w:r>
              <w:rPr>
                <w:sz w:val="16"/>
              </w:rPr>
              <w:t>0</w:t>
            </w:r>
          </w:p>
        </w:tc>
        <w:tc>
          <w:tcPr>
            <w:tcW w:type="dxa" w:w="1684"/>
          </w:tcPr>
          <w:p>
            <w:pPr>
              <w:spacing w:after="0"/>
              <w:jc w:val="right"/>
            </w:pPr>
            <w:r>
              <w:rPr>
                <w:sz w:val="16"/>
              </w:rPr>
              <w:t>0</w:t>
            </w:r>
          </w:p>
        </w:tc>
        <w:tc>
          <w:tcPr>
            <w:tcW w:type="dxa" w:w="2143"/>
          </w:tcPr>
          <w:p>
            <w:pPr>
              <w:spacing w:after="0"/>
              <w:jc w:val="left"/>
            </w:pPr>
            <w:r>
              <w:rPr>
                <w:sz w:val="16"/>
              </w:rPr>
              <w:t>1955 to 2026-06-30</w:t>
            </w:r>
          </w:p>
        </w:tc>
        <w:tc>
          <w:tcPr>
            <w:tcW w:type="dxa" w:w="2434"/>
          </w:tcPr>
          <w:p>
            <w:pPr>
              <w:spacing w:after="0"/>
              <w:jc w:val="left"/>
            </w:pPr>
          </w:p>
        </w:tc>
      </w:tr>
      <w:tr>
        <w:trPr>
          <w:cantSplit/>
        </w:trPr>
        <w:tc>
          <w:tcPr>
            <w:tcW w:type="dxa" w:w="1269"/>
          </w:tcPr>
          <w:p>
            <w:pPr>
              <w:spacing w:after="0"/>
              <w:jc w:val="left"/>
            </w:pPr>
            <w:r>
              <w:rPr>
                <w:sz w:val="16"/>
              </w:rPr>
              <w:t>Heat Wave</w:t>
            </w:r>
          </w:p>
        </w:tc>
        <w:tc>
          <w:tcPr>
            <w:tcW w:type="dxa" w:w="1487"/>
          </w:tcPr>
          <w:p>
            <w:pPr>
              <w:spacing w:after="0"/>
              <w:jc w:val="right"/>
            </w:pPr>
            <w:r>
              <w:rPr>
                <w:sz w:val="16"/>
              </w:rPr>
              <w:t>70</w:t>
            </w:r>
          </w:p>
        </w:tc>
        <w:tc>
          <w:tcPr>
            <w:tcW w:type="dxa" w:w="1422"/>
          </w:tcPr>
          <w:p>
            <w:pPr>
              <w:spacing w:after="0"/>
              <w:jc w:val="right"/>
            </w:pPr>
            <w:r>
              <w:rPr>
                <w:sz w:val="16"/>
              </w:rPr>
              <w:t>14</w:t>
            </w:r>
          </w:p>
        </w:tc>
        <w:tc>
          <w:tcPr>
            <w:tcW w:type="dxa" w:w="1356"/>
          </w:tcPr>
          <w:p>
            <w:pPr>
              <w:spacing w:after="0"/>
              <w:jc w:val="right"/>
            </w:pPr>
            <w:r>
              <w:rPr>
                <w:sz w:val="16"/>
              </w:rPr>
              <w:t>4</w:t>
            </w:r>
          </w:p>
        </w:tc>
        <w:tc>
          <w:tcPr>
            <w:tcW w:type="dxa" w:w="963"/>
          </w:tcPr>
          <w:p>
            <w:pPr>
              <w:spacing w:after="0"/>
              <w:jc w:val="right"/>
            </w:pPr>
            <w:r>
              <w:rPr>
                <w:sz w:val="16"/>
              </w:rPr>
              <w:t>18</w:t>
            </w:r>
          </w:p>
        </w:tc>
        <w:tc>
          <w:tcPr>
            <w:tcW w:type="dxa" w:w="1356"/>
          </w:tcPr>
          <w:p>
            <w:pPr>
              <w:spacing w:after="0"/>
              <w:jc w:val="right"/>
            </w:pPr>
            <w:r>
              <w:rPr>
                <w:sz w:val="16"/>
              </w:rPr>
              <w:t>0</w:t>
            </w:r>
          </w:p>
        </w:tc>
        <w:tc>
          <w:tcPr>
            <w:tcW w:type="dxa" w:w="1684"/>
          </w:tcPr>
          <w:p>
            <w:pPr>
              <w:spacing w:after="0"/>
              <w:jc w:val="right"/>
            </w:pPr>
            <w:r>
              <w:rPr>
                <w:sz w:val="16"/>
              </w:rPr>
              <w:t>0</w:t>
            </w:r>
          </w:p>
        </w:tc>
        <w:tc>
          <w:tcPr>
            <w:tcW w:type="dxa" w:w="2143"/>
          </w:tcPr>
          <w:p>
            <w:pPr>
              <w:spacing w:after="0"/>
              <w:jc w:val="left"/>
            </w:pPr>
            <w:r>
              <w:rPr>
                <w:sz w:val="16"/>
              </w:rPr>
              <w:t>1996 to 2026-06-30</w:t>
            </w:r>
          </w:p>
        </w:tc>
        <w:tc>
          <w:tcPr>
            <w:tcW w:type="dxa" w:w="2434"/>
          </w:tcPr>
          <w:p>
            <w:pPr>
              <w:spacing w:after="0"/>
              <w:jc w:val="left"/>
            </w:pPr>
          </w:p>
        </w:tc>
      </w:tr>
      <w:tr>
        <w:trPr>
          <w:cantSplit/>
        </w:trPr>
        <w:tc>
          <w:tcPr>
            <w:tcW w:type="dxa" w:w="1269"/>
          </w:tcPr>
          <w:p>
            <w:pPr>
              <w:spacing w:after="0"/>
              <w:jc w:val="left"/>
            </w:pPr>
            <w:r>
              <w:rPr>
                <w:sz w:val="16"/>
              </w:rPr>
              <w:t>Hurricane</w:t>
            </w:r>
          </w:p>
        </w:tc>
        <w:tc>
          <w:tcPr>
            <w:tcW w:type="dxa" w:w="1487"/>
          </w:tcPr>
          <w:p>
            <w:pPr>
              <w:spacing w:after="0"/>
              <w:jc w:val="right"/>
            </w:pPr>
            <w:r>
              <w:rPr>
                <w:sz w:val="16"/>
              </w:rPr>
              <w:t>0</w:t>
            </w:r>
          </w:p>
        </w:tc>
        <w:tc>
          <w:tcPr>
            <w:tcW w:type="dxa" w:w="1422"/>
          </w:tcPr>
          <w:p>
            <w:pPr>
              <w:spacing w:after="0"/>
              <w:jc w:val="right"/>
            </w:pPr>
            <w:r>
              <w:rPr>
                <w:sz w:val="16"/>
              </w:rPr>
              <w:t>0</w:t>
            </w:r>
          </w:p>
        </w:tc>
        <w:tc>
          <w:tcPr>
            <w:tcW w:type="dxa" w:w="1356"/>
          </w:tcPr>
          <w:p>
            <w:pPr>
              <w:spacing w:after="0"/>
              <w:jc w:val="right"/>
            </w:pPr>
            <w:r>
              <w:rPr>
                <w:sz w:val="16"/>
              </w:rPr>
              <w:t>0</w:t>
            </w:r>
          </w:p>
        </w:tc>
        <w:tc>
          <w:tcPr>
            <w:tcW w:type="dxa" w:w="963"/>
          </w:tcPr>
          <w:p>
            <w:pPr>
              <w:spacing w:after="0"/>
              <w:jc w:val="right"/>
            </w:pPr>
            <w:r>
              <w:rPr>
                <w:sz w:val="16"/>
              </w:rPr>
              <w:t>0</w:t>
            </w:r>
          </w:p>
        </w:tc>
        <w:tc>
          <w:tcPr>
            <w:tcW w:type="dxa" w:w="1356"/>
          </w:tcPr>
          <w:p>
            <w:pPr>
              <w:spacing w:after="0"/>
              <w:jc w:val="right"/>
            </w:pPr>
            <w:r>
              <w:rPr>
                <w:sz w:val="16"/>
              </w:rPr>
              <w:t>0</w:t>
            </w:r>
          </w:p>
        </w:tc>
        <w:tc>
          <w:tcPr>
            <w:tcW w:type="dxa" w:w="1684"/>
          </w:tcPr>
          <w:p>
            <w:pPr>
              <w:spacing w:after="0"/>
              <w:jc w:val="right"/>
            </w:pPr>
            <w:r>
              <w:rPr>
                <w:sz w:val="16"/>
              </w:rPr>
              <w:t>0</w:t>
            </w:r>
          </w:p>
        </w:tc>
        <w:tc>
          <w:tcPr>
            <w:tcW w:type="dxa" w:w="2143"/>
          </w:tcPr>
          <w:p>
            <w:pPr>
              <w:spacing w:after="0"/>
              <w:jc w:val="left"/>
            </w:pPr>
            <w:r>
              <w:rPr>
                <w:sz w:val="16"/>
              </w:rPr>
              <w:t>1996 to 2026-06-30</w:t>
            </w:r>
          </w:p>
        </w:tc>
        <w:tc>
          <w:tcPr>
            <w:tcW w:type="dxa" w:w="2434"/>
          </w:tcPr>
          <w:p>
            <w:pPr>
              <w:spacing w:after="0"/>
              <w:jc w:val="left"/>
            </w:pPr>
            <w:r>
              <w:rPr>
                <w:sz w:val="16"/>
              </w:rPr>
              <w:t>No recorded events, 1996 to 2026-06-30, NOAA NCEI Storm Events</w:t>
            </w:r>
          </w:p>
        </w:tc>
      </w:tr>
      <w:tr>
        <w:trPr>
          <w:cantSplit/>
        </w:trPr>
        <w:tc>
          <w:tcPr>
            <w:tcW w:type="dxa" w:w="1269"/>
          </w:tcPr>
          <w:p>
            <w:pPr>
              <w:spacing w:after="0"/>
              <w:jc w:val="left"/>
            </w:pPr>
            <w:r>
              <w:rPr>
                <w:sz w:val="16"/>
              </w:rPr>
              <w:t>Ice Storm</w:t>
            </w:r>
          </w:p>
        </w:tc>
        <w:tc>
          <w:tcPr>
            <w:tcW w:type="dxa" w:w="1487"/>
          </w:tcPr>
          <w:p>
            <w:pPr>
              <w:spacing w:after="0"/>
              <w:jc w:val="right"/>
            </w:pPr>
            <w:r>
              <w:rPr>
                <w:sz w:val="16"/>
              </w:rPr>
              <w:t>5</w:t>
            </w:r>
          </w:p>
        </w:tc>
        <w:tc>
          <w:tcPr>
            <w:tcW w:type="dxa" w:w="1422"/>
          </w:tcPr>
          <w:p>
            <w:pPr>
              <w:spacing w:after="0"/>
              <w:jc w:val="right"/>
            </w:pPr>
            <w:r>
              <w:rPr>
                <w:sz w:val="16"/>
              </w:rPr>
              <w:t>0</w:t>
            </w:r>
          </w:p>
        </w:tc>
        <w:tc>
          <w:tcPr>
            <w:tcW w:type="dxa" w:w="1356"/>
          </w:tcPr>
          <w:p>
            <w:pPr>
              <w:spacing w:after="0"/>
              <w:jc w:val="right"/>
            </w:pPr>
            <w:r>
              <w:rPr>
                <w:sz w:val="16"/>
              </w:rPr>
              <w:t>0</w:t>
            </w:r>
          </w:p>
        </w:tc>
        <w:tc>
          <w:tcPr>
            <w:tcW w:type="dxa" w:w="963"/>
          </w:tcPr>
          <w:p>
            <w:pPr>
              <w:spacing w:after="0"/>
              <w:jc w:val="right"/>
            </w:pPr>
            <w:r>
              <w:rPr>
                <w:sz w:val="16"/>
              </w:rPr>
              <w:t>0</w:t>
            </w:r>
          </w:p>
        </w:tc>
        <w:tc>
          <w:tcPr>
            <w:tcW w:type="dxa" w:w="1356"/>
          </w:tcPr>
          <w:p>
            <w:pPr>
              <w:spacing w:after="0"/>
              <w:jc w:val="right"/>
            </w:pPr>
            <w:r>
              <w:rPr>
                <w:sz w:val="16"/>
              </w:rPr>
              <w:t>0</w:t>
            </w:r>
          </w:p>
        </w:tc>
        <w:tc>
          <w:tcPr>
            <w:tcW w:type="dxa" w:w="1684"/>
          </w:tcPr>
          <w:p>
            <w:pPr>
              <w:spacing w:after="0"/>
              <w:jc w:val="right"/>
            </w:pPr>
            <w:r>
              <w:rPr>
                <w:sz w:val="16"/>
              </w:rPr>
              <w:t>0</w:t>
            </w:r>
          </w:p>
        </w:tc>
        <w:tc>
          <w:tcPr>
            <w:tcW w:type="dxa" w:w="2143"/>
          </w:tcPr>
          <w:p>
            <w:pPr>
              <w:spacing w:after="0"/>
              <w:jc w:val="left"/>
            </w:pPr>
            <w:r>
              <w:rPr>
                <w:sz w:val="16"/>
              </w:rPr>
              <w:t>1996 to 2026-06-30</w:t>
            </w:r>
          </w:p>
        </w:tc>
        <w:tc>
          <w:tcPr>
            <w:tcW w:type="dxa" w:w="2434"/>
          </w:tcPr>
          <w:p>
            <w:pPr>
              <w:spacing w:after="0"/>
              <w:jc w:val="left"/>
            </w:pPr>
          </w:p>
        </w:tc>
      </w:tr>
      <w:tr>
        <w:trPr>
          <w:cantSplit/>
        </w:trPr>
        <w:tc>
          <w:tcPr>
            <w:tcW w:type="dxa" w:w="1269"/>
          </w:tcPr>
          <w:p>
            <w:pPr>
              <w:spacing w:after="0"/>
              <w:jc w:val="left"/>
            </w:pPr>
            <w:r>
              <w:rPr>
                <w:sz w:val="16"/>
              </w:rPr>
              <w:t>Inland Flooding</w:t>
            </w:r>
          </w:p>
        </w:tc>
        <w:tc>
          <w:tcPr>
            <w:tcW w:type="dxa" w:w="1487"/>
          </w:tcPr>
          <w:p>
            <w:pPr>
              <w:spacing w:after="0"/>
              <w:jc w:val="right"/>
            </w:pPr>
            <w:r>
              <w:rPr>
                <w:sz w:val="16"/>
              </w:rPr>
              <w:t>161</w:t>
            </w:r>
          </w:p>
        </w:tc>
        <w:tc>
          <w:tcPr>
            <w:tcW w:type="dxa" w:w="1422"/>
          </w:tcPr>
          <w:p>
            <w:pPr>
              <w:spacing w:after="0"/>
              <w:jc w:val="right"/>
            </w:pPr>
            <w:r>
              <w:rPr>
                <w:sz w:val="16"/>
              </w:rPr>
              <w:t>14</w:t>
            </w:r>
          </w:p>
        </w:tc>
        <w:tc>
          <w:tcPr>
            <w:tcW w:type="dxa" w:w="1356"/>
          </w:tcPr>
          <w:p>
            <w:pPr>
              <w:spacing w:after="0"/>
              <w:jc w:val="right"/>
            </w:pPr>
            <w:r>
              <w:rPr>
                <w:sz w:val="16"/>
              </w:rPr>
              <w:t>4</w:t>
            </w:r>
          </w:p>
        </w:tc>
        <w:tc>
          <w:tcPr>
            <w:tcW w:type="dxa" w:w="963"/>
          </w:tcPr>
          <w:p>
            <w:pPr>
              <w:spacing w:after="0"/>
              <w:jc w:val="right"/>
            </w:pPr>
            <w:r>
              <w:rPr>
                <w:sz w:val="16"/>
              </w:rPr>
              <w:t>22</w:t>
            </w:r>
          </w:p>
        </w:tc>
        <w:tc>
          <w:tcPr>
            <w:tcW w:type="dxa" w:w="1356"/>
          </w:tcPr>
          <w:p>
            <w:pPr>
              <w:spacing w:after="0"/>
              <w:jc w:val="right"/>
            </w:pPr>
            <w:r>
              <w:rPr>
                <w:sz w:val="16"/>
              </w:rPr>
              <w:t>11</w:t>
            </w:r>
          </w:p>
        </w:tc>
        <w:tc>
          <w:tcPr>
            <w:tcW w:type="dxa" w:w="1684"/>
          </w:tcPr>
          <w:p>
            <w:pPr>
              <w:spacing w:after="0"/>
              <w:jc w:val="right"/>
            </w:pPr>
            <w:r>
              <w:rPr>
                <w:sz w:val="16"/>
              </w:rPr>
              <w:t>1</w:t>
            </w:r>
          </w:p>
        </w:tc>
        <w:tc>
          <w:tcPr>
            <w:tcW w:type="dxa" w:w="2143"/>
          </w:tcPr>
          <w:p>
            <w:pPr>
              <w:spacing w:after="0"/>
              <w:jc w:val="left"/>
            </w:pPr>
            <w:r>
              <w:rPr>
                <w:sz w:val="16"/>
              </w:rPr>
              <w:t>1996 to 2026-06-30</w:t>
            </w:r>
          </w:p>
        </w:tc>
        <w:tc>
          <w:tcPr>
            <w:tcW w:type="dxa" w:w="2434"/>
          </w:tcPr>
          <w:p>
            <w:pPr>
              <w:spacing w:after="0"/>
              <w:jc w:val="left"/>
            </w:pPr>
          </w:p>
        </w:tc>
      </w:tr>
      <w:tr>
        <w:trPr>
          <w:cantSplit/>
        </w:trPr>
        <w:tc>
          <w:tcPr>
            <w:tcW w:type="dxa" w:w="1269"/>
          </w:tcPr>
          <w:p>
            <w:pPr>
              <w:spacing w:after="0"/>
              <w:jc w:val="left"/>
            </w:pPr>
            <w:r>
              <w:rPr>
                <w:sz w:val="16"/>
              </w:rPr>
              <w:t>Landslide</w:t>
            </w:r>
          </w:p>
        </w:tc>
        <w:tc>
          <w:tcPr>
            <w:tcW w:type="dxa" w:w="1487"/>
          </w:tcPr>
          <w:p>
            <w:pPr>
              <w:spacing w:after="0"/>
              <w:jc w:val="right"/>
            </w:pPr>
            <w:r>
              <w:rPr>
                <w:sz w:val="16"/>
              </w:rPr>
              <w:t>0</w:t>
            </w:r>
          </w:p>
        </w:tc>
        <w:tc>
          <w:tcPr>
            <w:tcW w:type="dxa" w:w="1422"/>
          </w:tcPr>
          <w:p>
            <w:pPr>
              <w:spacing w:after="0"/>
              <w:jc w:val="right"/>
            </w:pPr>
            <w:r>
              <w:rPr>
                <w:sz w:val="16"/>
              </w:rPr>
              <w:t>0</w:t>
            </w:r>
          </w:p>
        </w:tc>
        <w:tc>
          <w:tcPr>
            <w:tcW w:type="dxa" w:w="1356"/>
          </w:tcPr>
          <w:p>
            <w:pPr>
              <w:spacing w:after="0"/>
              <w:jc w:val="right"/>
            </w:pPr>
            <w:r>
              <w:rPr>
                <w:sz w:val="16"/>
              </w:rPr>
              <w:t>0</w:t>
            </w:r>
          </w:p>
        </w:tc>
        <w:tc>
          <w:tcPr>
            <w:tcW w:type="dxa" w:w="963"/>
          </w:tcPr>
          <w:p>
            <w:pPr>
              <w:spacing w:after="0"/>
              <w:jc w:val="right"/>
            </w:pPr>
            <w:r>
              <w:rPr>
                <w:sz w:val="16"/>
              </w:rPr>
              <w:t>0</w:t>
            </w:r>
          </w:p>
        </w:tc>
        <w:tc>
          <w:tcPr>
            <w:tcW w:type="dxa" w:w="1356"/>
          </w:tcPr>
          <w:p>
            <w:pPr>
              <w:spacing w:after="0"/>
              <w:jc w:val="right"/>
            </w:pPr>
            <w:r>
              <w:rPr>
                <w:sz w:val="16"/>
              </w:rPr>
              <w:t>0</w:t>
            </w:r>
          </w:p>
        </w:tc>
        <w:tc>
          <w:tcPr>
            <w:tcW w:type="dxa" w:w="1684"/>
          </w:tcPr>
          <w:p>
            <w:pPr>
              <w:spacing w:after="0"/>
              <w:jc w:val="right"/>
            </w:pPr>
            <w:r>
              <w:rPr>
                <w:sz w:val="16"/>
              </w:rPr>
              <w:t>0</w:t>
            </w:r>
          </w:p>
        </w:tc>
        <w:tc>
          <w:tcPr>
            <w:tcW w:type="dxa" w:w="2143"/>
          </w:tcPr>
          <w:p>
            <w:pPr>
              <w:spacing w:after="0"/>
              <w:jc w:val="left"/>
            </w:pPr>
            <w:r>
              <w:rPr>
                <w:sz w:val="16"/>
              </w:rPr>
              <w:t>1996 to 2026-06-30</w:t>
            </w:r>
          </w:p>
        </w:tc>
        <w:tc>
          <w:tcPr>
            <w:tcW w:type="dxa" w:w="2434"/>
          </w:tcPr>
          <w:p>
            <w:pPr>
              <w:spacing w:after="0"/>
              <w:jc w:val="left"/>
            </w:pPr>
            <w:r>
              <w:rPr>
                <w:sz w:val="16"/>
              </w:rPr>
              <w:t>No recorded events, 1996 to 2026-06-30, NOAA NCEI Storm Events</w:t>
            </w:r>
          </w:p>
        </w:tc>
      </w:tr>
      <w:tr>
        <w:trPr>
          <w:cantSplit/>
        </w:trPr>
        <w:tc>
          <w:tcPr>
            <w:tcW w:type="dxa" w:w="1269"/>
          </w:tcPr>
          <w:p>
            <w:pPr>
              <w:spacing w:after="0"/>
              <w:jc w:val="left"/>
            </w:pPr>
            <w:r>
              <w:rPr>
                <w:sz w:val="16"/>
              </w:rPr>
              <w:t>Lightning</w:t>
            </w:r>
          </w:p>
        </w:tc>
        <w:tc>
          <w:tcPr>
            <w:tcW w:type="dxa" w:w="1487"/>
          </w:tcPr>
          <w:p>
            <w:pPr>
              <w:spacing w:after="0"/>
              <w:jc w:val="right"/>
            </w:pPr>
            <w:r>
              <w:rPr>
                <w:sz w:val="16"/>
              </w:rPr>
              <w:t>1</w:t>
            </w:r>
          </w:p>
        </w:tc>
        <w:tc>
          <w:tcPr>
            <w:tcW w:type="dxa" w:w="1422"/>
          </w:tcPr>
          <w:p>
            <w:pPr>
              <w:spacing w:after="0"/>
              <w:jc w:val="right"/>
            </w:pPr>
            <w:r>
              <w:rPr>
                <w:sz w:val="16"/>
              </w:rPr>
              <w:t>0</w:t>
            </w:r>
          </w:p>
        </w:tc>
        <w:tc>
          <w:tcPr>
            <w:tcW w:type="dxa" w:w="1356"/>
          </w:tcPr>
          <w:p>
            <w:pPr>
              <w:spacing w:after="0"/>
              <w:jc w:val="right"/>
            </w:pPr>
            <w:r>
              <w:rPr>
                <w:sz w:val="16"/>
              </w:rPr>
              <w:t>0</w:t>
            </w:r>
          </w:p>
        </w:tc>
        <w:tc>
          <w:tcPr>
            <w:tcW w:type="dxa" w:w="963"/>
          </w:tcPr>
          <w:p>
            <w:pPr>
              <w:spacing w:after="0"/>
              <w:jc w:val="right"/>
            </w:pPr>
            <w:r>
              <w:rPr>
                <w:sz w:val="16"/>
              </w:rPr>
              <w:t>0</w:t>
            </w:r>
          </w:p>
        </w:tc>
        <w:tc>
          <w:tcPr>
            <w:tcW w:type="dxa" w:w="1356"/>
          </w:tcPr>
          <w:p>
            <w:pPr>
              <w:spacing w:after="0"/>
              <w:jc w:val="right"/>
            </w:pPr>
            <w:r>
              <w:rPr>
                <w:sz w:val="16"/>
              </w:rPr>
              <w:t>0</w:t>
            </w:r>
          </w:p>
        </w:tc>
        <w:tc>
          <w:tcPr>
            <w:tcW w:type="dxa" w:w="1684"/>
          </w:tcPr>
          <w:p>
            <w:pPr>
              <w:spacing w:after="0"/>
              <w:jc w:val="right"/>
            </w:pPr>
            <w:r>
              <w:rPr>
                <w:sz w:val="16"/>
              </w:rPr>
              <w:t>0</w:t>
            </w:r>
          </w:p>
        </w:tc>
        <w:tc>
          <w:tcPr>
            <w:tcW w:type="dxa" w:w="2143"/>
          </w:tcPr>
          <w:p>
            <w:pPr>
              <w:spacing w:after="0"/>
              <w:jc w:val="left"/>
            </w:pPr>
            <w:r>
              <w:rPr>
                <w:sz w:val="16"/>
              </w:rPr>
              <w:t>1996 to 2026-06-30</w:t>
            </w:r>
          </w:p>
        </w:tc>
        <w:tc>
          <w:tcPr>
            <w:tcW w:type="dxa" w:w="2434"/>
          </w:tcPr>
          <w:p>
            <w:pPr>
              <w:spacing w:after="0"/>
              <w:jc w:val="left"/>
            </w:pPr>
          </w:p>
        </w:tc>
      </w:tr>
      <w:tr>
        <w:trPr>
          <w:cantSplit/>
        </w:trPr>
        <w:tc>
          <w:tcPr>
            <w:tcW w:type="dxa" w:w="1269"/>
          </w:tcPr>
          <w:p>
            <w:pPr>
              <w:spacing w:after="0"/>
              <w:jc w:val="left"/>
            </w:pPr>
            <w:r>
              <w:rPr>
                <w:sz w:val="16"/>
              </w:rPr>
              <w:t>Strong Wind</w:t>
            </w:r>
          </w:p>
        </w:tc>
        <w:tc>
          <w:tcPr>
            <w:tcW w:type="dxa" w:w="1487"/>
          </w:tcPr>
          <w:p>
            <w:pPr>
              <w:spacing w:after="0"/>
              <w:jc w:val="right"/>
            </w:pPr>
            <w:r>
              <w:rPr>
                <w:sz w:val="16"/>
              </w:rPr>
              <w:t>212</w:t>
            </w:r>
          </w:p>
        </w:tc>
        <w:tc>
          <w:tcPr>
            <w:tcW w:type="dxa" w:w="1422"/>
          </w:tcPr>
          <w:p>
            <w:pPr>
              <w:spacing w:after="0"/>
              <w:jc w:val="right"/>
            </w:pPr>
            <w:r>
              <w:rPr>
                <w:sz w:val="16"/>
              </w:rPr>
              <w:t>32</w:t>
            </w:r>
          </w:p>
        </w:tc>
        <w:tc>
          <w:tcPr>
            <w:tcW w:type="dxa" w:w="1356"/>
          </w:tcPr>
          <w:p>
            <w:pPr>
              <w:spacing w:after="0"/>
              <w:jc w:val="right"/>
            </w:pPr>
            <w:r>
              <w:rPr>
                <w:sz w:val="16"/>
              </w:rPr>
              <w:t>9</w:t>
            </w:r>
          </w:p>
        </w:tc>
        <w:tc>
          <w:tcPr>
            <w:tcW w:type="dxa" w:w="963"/>
          </w:tcPr>
          <w:p>
            <w:pPr>
              <w:spacing w:after="0"/>
              <w:jc w:val="right"/>
            </w:pPr>
            <w:r>
              <w:rPr>
                <w:sz w:val="16"/>
              </w:rPr>
              <w:t>43</w:t>
            </w:r>
          </w:p>
        </w:tc>
        <w:tc>
          <w:tcPr>
            <w:tcW w:type="dxa" w:w="1356"/>
          </w:tcPr>
          <w:p>
            <w:pPr>
              <w:spacing w:after="0"/>
              <w:jc w:val="right"/>
            </w:pPr>
            <w:r>
              <w:rPr>
                <w:sz w:val="16"/>
              </w:rPr>
              <w:t>3</w:t>
            </w:r>
          </w:p>
        </w:tc>
        <w:tc>
          <w:tcPr>
            <w:tcW w:type="dxa" w:w="1684"/>
          </w:tcPr>
          <w:p>
            <w:pPr>
              <w:spacing w:after="0"/>
              <w:jc w:val="right"/>
            </w:pPr>
            <w:r>
              <w:rPr>
                <w:sz w:val="16"/>
              </w:rPr>
              <w:t>1</w:t>
            </w:r>
          </w:p>
        </w:tc>
        <w:tc>
          <w:tcPr>
            <w:tcW w:type="dxa" w:w="2143"/>
          </w:tcPr>
          <w:p>
            <w:pPr>
              <w:spacing w:after="0"/>
              <w:jc w:val="left"/>
            </w:pPr>
            <w:r>
              <w:rPr>
                <w:sz w:val="16"/>
              </w:rPr>
              <w:t>1955 to 2026-06-30</w:t>
            </w:r>
          </w:p>
        </w:tc>
        <w:tc>
          <w:tcPr>
            <w:tcW w:type="dxa" w:w="2434"/>
          </w:tcPr>
          <w:p>
            <w:pPr>
              <w:spacing w:after="0"/>
              <w:jc w:val="left"/>
            </w:pPr>
            <w:r>
              <w:rPr>
                <w:sz w:val="16"/>
              </w:rPr>
              <w:t>Includes 6 High Wind records and 71 Strong Wind records, event types the NRI definition of this hazard leaves out.</w:t>
            </w:r>
          </w:p>
        </w:tc>
      </w:tr>
      <w:tr>
        <w:trPr>
          <w:cantSplit/>
        </w:trPr>
        <w:tc>
          <w:tcPr>
            <w:tcW w:type="dxa" w:w="1269"/>
          </w:tcPr>
          <w:p>
            <w:pPr>
              <w:spacing w:after="0"/>
              <w:jc w:val="left"/>
            </w:pPr>
            <w:r>
              <w:rPr>
                <w:sz w:val="16"/>
              </w:rPr>
              <w:t>Tornado</w:t>
            </w:r>
          </w:p>
        </w:tc>
        <w:tc>
          <w:tcPr>
            <w:tcW w:type="dxa" w:w="1487"/>
          </w:tcPr>
          <w:p>
            <w:pPr>
              <w:spacing w:after="0"/>
              <w:jc w:val="right"/>
            </w:pPr>
            <w:r>
              <w:rPr>
                <w:sz w:val="16"/>
              </w:rPr>
              <w:t>29</w:t>
            </w:r>
          </w:p>
        </w:tc>
        <w:tc>
          <w:tcPr>
            <w:tcW w:type="dxa" w:w="1422"/>
          </w:tcPr>
          <w:p>
            <w:pPr>
              <w:spacing w:after="0"/>
              <w:jc w:val="right"/>
            </w:pPr>
            <w:r>
              <w:rPr>
                <w:sz w:val="16"/>
              </w:rPr>
              <w:t>8</w:t>
            </w:r>
          </w:p>
        </w:tc>
        <w:tc>
          <w:tcPr>
            <w:tcW w:type="dxa" w:w="1356"/>
          </w:tcPr>
          <w:p>
            <w:pPr>
              <w:spacing w:after="0"/>
              <w:jc w:val="right"/>
            </w:pPr>
            <w:r>
              <w:rPr>
                <w:sz w:val="16"/>
              </w:rPr>
              <w:t>0</w:t>
            </w:r>
          </w:p>
        </w:tc>
        <w:tc>
          <w:tcPr>
            <w:tcW w:type="dxa" w:w="963"/>
          </w:tcPr>
          <w:p>
            <w:pPr>
              <w:spacing w:after="0"/>
              <w:jc w:val="right"/>
            </w:pPr>
            <w:r>
              <w:rPr>
                <w:sz w:val="16"/>
              </w:rPr>
              <w:t>8</w:t>
            </w:r>
          </w:p>
        </w:tc>
        <w:tc>
          <w:tcPr>
            <w:tcW w:type="dxa" w:w="1356"/>
          </w:tcPr>
          <w:p>
            <w:pPr>
              <w:spacing w:after="0"/>
              <w:jc w:val="right"/>
            </w:pPr>
            <w:r>
              <w:rPr>
                <w:sz w:val="16"/>
              </w:rPr>
              <w:t>6</w:t>
            </w:r>
          </w:p>
        </w:tc>
        <w:tc>
          <w:tcPr>
            <w:tcW w:type="dxa" w:w="1684"/>
          </w:tcPr>
          <w:p>
            <w:pPr>
              <w:spacing w:after="0"/>
              <w:jc w:val="right"/>
            </w:pPr>
            <w:r>
              <w:rPr>
                <w:sz w:val="16"/>
              </w:rPr>
              <w:t>1</w:t>
            </w:r>
          </w:p>
        </w:tc>
        <w:tc>
          <w:tcPr>
            <w:tcW w:type="dxa" w:w="2143"/>
          </w:tcPr>
          <w:p>
            <w:pPr>
              <w:spacing w:after="0"/>
              <w:jc w:val="left"/>
            </w:pPr>
            <w:r>
              <w:rPr>
                <w:sz w:val="16"/>
              </w:rPr>
              <w:t>1950 to 2026-06-30</w:t>
            </w:r>
          </w:p>
        </w:tc>
        <w:tc>
          <w:tcPr>
            <w:tcW w:type="dxa" w:w="2434"/>
          </w:tcPr>
          <w:p>
            <w:pPr>
              <w:spacing w:after="0"/>
              <w:jc w:val="left"/>
            </w:pPr>
          </w:p>
        </w:tc>
      </w:tr>
      <w:tr>
        <w:trPr>
          <w:cantSplit/>
        </w:trPr>
        <w:tc>
          <w:tcPr>
            <w:tcW w:type="dxa" w:w="1269"/>
          </w:tcPr>
          <w:p>
            <w:pPr>
              <w:spacing w:after="0"/>
              <w:jc w:val="left"/>
            </w:pPr>
            <w:r>
              <w:rPr>
                <w:sz w:val="16"/>
              </w:rPr>
              <w:t>Tsunami</w:t>
            </w:r>
          </w:p>
        </w:tc>
        <w:tc>
          <w:tcPr>
            <w:tcW w:type="dxa" w:w="1487"/>
          </w:tcPr>
          <w:p>
            <w:pPr>
              <w:spacing w:after="0"/>
              <w:jc w:val="right"/>
            </w:pPr>
            <w:r>
              <w:rPr>
                <w:sz w:val="16"/>
              </w:rPr>
              <w:t>0</w:t>
            </w:r>
          </w:p>
        </w:tc>
        <w:tc>
          <w:tcPr>
            <w:tcW w:type="dxa" w:w="1422"/>
          </w:tcPr>
          <w:p>
            <w:pPr>
              <w:spacing w:after="0"/>
              <w:jc w:val="right"/>
            </w:pPr>
            <w:r>
              <w:rPr>
                <w:sz w:val="16"/>
              </w:rPr>
              <w:t>0</w:t>
            </w:r>
          </w:p>
        </w:tc>
        <w:tc>
          <w:tcPr>
            <w:tcW w:type="dxa" w:w="1356"/>
          </w:tcPr>
          <w:p>
            <w:pPr>
              <w:spacing w:after="0"/>
              <w:jc w:val="right"/>
            </w:pPr>
            <w:r>
              <w:rPr>
                <w:sz w:val="16"/>
              </w:rPr>
              <w:t>0</w:t>
            </w:r>
          </w:p>
        </w:tc>
        <w:tc>
          <w:tcPr>
            <w:tcW w:type="dxa" w:w="963"/>
          </w:tcPr>
          <w:p>
            <w:pPr>
              <w:spacing w:after="0"/>
              <w:jc w:val="right"/>
            </w:pPr>
            <w:r>
              <w:rPr>
                <w:sz w:val="16"/>
              </w:rPr>
              <w:t>0</w:t>
            </w:r>
          </w:p>
        </w:tc>
        <w:tc>
          <w:tcPr>
            <w:tcW w:type="dxa" w:w="1356"/>
          </w:tcPr>
          <w:p>
            <w:pPr>
              <w:spacing w:after="0"/>
              <w:jc w:val="right"/>
            </w:pPr>
            <w:r>
              <w:rPr>
                <w:sz w:val="16"/>
              </w:rPr>
              <w:t>0</w:t>
            </w:r>
          </w:p>
        </w:tc>
        <w:tc>
          <w:tcPr>
            <w:tcW w:type="dxa" w:w="1684"/>
          </w:tcPr>
          <w:p>
            <w:pPr>
              <w:spacing w:after="0"/>
              <w:jc w:val="right"/>
            </w:pPr>
            <w:r>
              <w:rPr>
                <w:sz w:val="16"/>
              </w:rPr>
              <w:t>0</w:t>
            </w:r>
          </w:p>
        </w:tc>
        <w:tc>
          <w:tcPr>
            <w:tcW w:type="dxa" w:w="2143"/>
          </w:tcPr>
          <w:p>
            <w:pPr>
              <w:spacing w:after="0"/>
              <w:jc w:val="left"/>
            </w:pPr>
            <w:r>
              <w:rPr>
                <w:sz w:val="16"/>
              </w:rPr>
              <w:t>1996 to 2026-06-30</w:t>
            </w:r>
          </w:p>
        </w:tc>
        <w:tc>
          <w:tcPr>
            <w:tcW w:type="dxa" w:w="2434"/>
          </w:tcPr>
          <w:p>
            <w:pPr>
              <w:spacing w:after="0"/>
              <w:jc w:val="left"/>
            </w:pPr>
            <w:r>
              <w:rPr>
                <w:sz w:val="16"/>
              </w:rPr>
              <w:t>No recorded events, 1996 to 2026-06-30, NOAA NCEI Storm Events</w:t>
            </w:r>
          </w:p>
        </w:tc>
      </w:tr>
      <w:tr>
        <w:trPr>
          <w:cantSplit/>
        </w:trPr>
        <w:tc>
          <w:tcPr>
            <w:tcW w:type="dxa" w:w="1269"/>
          </w:tcPr>
          <w:p>
            <w:pPr>
              <w:spacing w:after="0"/>
              <w:jc w:val="left"/>
            </w:pPr>
            <w:r>
              <w:rPr>
                <w:sz w:val="16"/>
              </w:rPr>
              <w:t>Volcanic Activity</w:t>
            </w:r>
          </w:p>
        </w:tc>
        <w:tc>
          <w:tcPr>
            <w:tcW w:type="dxa" w:w="1487"/>
          </w:tcPr>
          <w:p>
            <w:pPr>
              <w:spacing w:after="0"/>
              <w:jc w:val="right"/>
            </w:pPr>
            <w:r>
              <w:rPr>
                <w:sz w:val="16"/>
              </w:rPr>
              <w:t>0</w:t>
            </w:r>
          </w:p>
        </w:tc>
        <w:tc>
          <w:tcPr>
            <w:tcW w:type="dxa" w:w="1422"/>
          </w:tcPr>
          <w:p>
            <w:pPr>
              <w:spacing w:after="0"/>
              <w:jc w:val="right"/>
            </w:pPr>
            <w:r>
              <w:rPr>
                <w:sz w:val="16"/>
              </w:rPr>
              <w:t>0</w:t>
            </w:r>
          </w:p>
        </w:tc>
        <w:tc>
          <w:tcPr>
            <w:tcW w:type="dxa" w:w="1356"/>
          </w:tcPr>
          <w:p>
            <w:pPr>
              <w:spacing w:after="0"/>
              <w:jc w:val="right"/>
            </w:pPr>
            <w:r>
              <w:rPr>
                <w:sz w:val="16"/>
              </w:rPr>
              <w:t>0</w:t>
            </w:r>
          </w:p>
        </w:tc>
        <w:tc>
          <w:tcPr>
            <w:tcW w:type="dxa" w:w="963"/>
          </w:tcPr>
          <w:p>
            <w:pPr>
              <w:spacing w:after="0"/>
              <w:jc w:val="right"/>
            </w:pPr>
            <w:r>
              <w:rPr>
                <w:sz w:val="16"/>
              </w:rPr>
              <w:t>0</w:t>
            </w:r>
          </w:p>
        </w:tc>
        <w:tc>
          <w:tcPr>
            <w:tcW w:type="dxa" w:w="1356"/>
          </w:tcPr>
          <w:p>
            <w:pPr>
              <w:spacing w:after="0"/>
              <w:jc w:val="right"/>
            </w:pPr>
            <w:r>
              <w:rPr>
                <w:sz w:val="16"/>
              </w:rPr>
              <w:t>0</w:t>
            </w:r>
          </w:p>
        </w:tc>
        <w:tc>
          <w:tcPr>
            <w:tcW w:type="dxa" w:w="1684"/>
          </w:tcPr>
          <w:p>
            <w:pPr>
              <w:spacing w:after="0"/>
              <w:jc w:val="right"/>
            </w:pPr>
            <w:r>
              <w:rPr>
                <w:sz w:val="16"/>
              </w:rPr>
              <w:t>0</w:t>
            </w:r>
          </w:p>
        </w:tc>
        <w:tc>
          <w:tcPr>
            <w:tcW w:type="dxa" w:w="2143"/>
          </w:tcPr>
          <w:p>
            <w:pPr>
              <w:spacing w:after="0"/>
              <w:jc w:val="left"/>
            </w:pPr>
            <w:r>
              <w:rPr>
                <w:sz w:val="16"/>
              </w:rPr>
              <w:t>1996 to 2026-06-30</w:t>
            </w:r>
          </w:p>
        </w:tc>
        <w:tc>
          <w:tcPr>
            <w:tcW w:type="dxa" w:w="2434"/>
          </w:tcPr>
          <w:p>
            <w:pPr>
              <w:spacing w:after="0"/>
              <w:jc w:val="left"/>
            </w:pPr>
            <w:r>
              <w:rPr>
                <w:sz w:val="16"/>
              </w:rPr>
              <w:t>No recorded events, 1996 to 2026-06-30, NOAA NCEI Storm Events</w:t>
            </w:r>
          </w:p>
        </w:tc>
      </w:tr>
      <w:tr>
        <w:trPr>
          <w:cantSplit/>
        </w:trPr>
        <w:tc>
          <w:tcPr>
            <w:tcW w:type="dxa" w:w="1269"/>
          </w:tcPr>
          <w:p>
            <w:pPr>
              <w:spacing w:after="0"/>
              <w:jc w:val="left"/>
            </w:pPr>
            <w:r>
              <w:rPr>
                <w:sz w:val="16"/>
              </w:rPr>
              <w:t>Wildfire</w:t>
            </w:r>
          </w:p>
        </w:tc>
        <w:tc>
          <w:tcPr>
            <w:tcW w:type="dxa" w:w="1487"/>
          </w:tcPr>
          <w:p>
            <w:pPr>
              <w:spacing w:after="0"/>
              <w:jc w:val="right"/>
            </w:pPr>
            <w:r>
              <w:rPr>
                <w:sz w:val="16"/>
              </w:rPr>
              <w:t>0</w:t>
            </w:r>
          </w:p>
        </w:tc>
        <w:tc>
          <w:tcPr>
            <w:tcW w:type="dxa" w:w="1422"/>
          </w:tcPr>
          <w:p>
            <w:pPr>
              <w:spacing w:after="0"/>
              <w:jc w:val="right"/>
            </w:pPr>
            <w:r>
              <w:rPr>
                <w:sz w:val="16"/>
              </w:rPr>
              <w:t>0</w:t>
            </w:r>
          </w:p>
        </w:tc>
        <w:tc>
          <w:tcPr>
            <w:tcW w:type="dxa" w:w="1356"/>
          </w:tcPr>
          <w:p>
            <w:pPr>
              <w:spacing w:after="0"/>
              <w:jc w:val="right"/>
            </w:pPr>
            <w:r>
              <w:rPr>
                <w:sz w:val="16"/>
              </w:rPr>
              <w:t>0</w:t>
            </w:r>
          </w:p>
        </w:tc>
        <w:tc>
          <w:tcPr>
            <w:tcW w:type="dxa" w:w="963"/>
          </w:tcPr>
          <w:p>
            <w:pPr>
              <w:spacing w:after="0"/>
              <w:jc w:val="right"/>
            </w:pPr>
            <w:r>
              <w:rPr>
                <w:sz w:val="16"/>
              </w:rPr>
              <w:t>0</w:t>
            </w:r>
          </w:p>
        </w:tc>
        <w:tc>
          <w:tcPr>
            <w:tcW w:type="dxa" w:w="1356"/>
          </w:tcPr>
          <w:p>
            <w:pPr>
              <w:spacing w:after="0"/>
              <w:jc w:val="right"/>
            </w:pPr>
            <w:r>
              <w:rPr>
                <w:sz w:val="16"/>
              </w:rPr>
              <w:t>0</w:t>
            </w:r>
          </w:p>
        </w:tc>
        <w:tc>
          <w:tcPr>
            <w:tcW w:type="dxa" w:w="1684"/>
          </w:tcPr>
          <w:p>
            <w:pPr>
              <w:spacing w:after="0"/>
              <w:jc w:val="right"/>
            </w:pPr>
            <w:r>
              <w:rPr>
                <w:sz w:val="16"/>
              </w:rPr>
              <w:t>0</w:t>
            </w:r>
          </w:p>
        </w:tc>
        <w:tc>
          <w:tcPr>
            <w:tcW w:type="dxa" w:w="2143"/>
          </w:tcPr>
          <w:p>
            <w:pPr>
              <w:spacing w:after="0"/>
              <w:jc w:val="left"/>
            </w:pPr>
            <w:r>
              <w:rPr>
                <w:sz w:val="16"/>
              </w:rPr>
              <w:t>1996 to 2026-06-30</w:t>
            </w:r>
          </w:p>
        </w:tc>
        <w:tc>
          <w:tcPr>
            <w:tcW w:type="dxa" w:w="2434"/>
          </w:tcPr>
          <w:p>
            <w:pPr>
              <w:spacing w:after="0"/>
              <w:jc w:val="left"/>
            </w:pPr>
            <w:r>
              <w:rPr>
                <w:sz w:val="16"/>
              </w:rPr>
              <w:t>No recorded events, 1996 to 2026-06-30, NOAA NCEI Storm Events</w:t>
            </w:r>
          </w:p>
        </w:tc>
      </w:tr>
      <w:tr>
        <w:trPr>
          <w:cantSplit/>
        </w:trPr>
        <w:tc>
          <w:tcPr>
            <w:tcW w:type="dxa" w:w="1269"/>
          </w:tcPr>
          <w:p>
            <w:pPr>
              <w:spacing w:after="0"/>
              <w:jc w:val="left"/>
            </w:pPr>
            <w:r>
              <w:rPr>
                <w:sz w:val="16"/>
              </w:rPr>
              <w:t>Winter Weather</w:t>
            </w:r>
          </w:p>
        </w:tc>
        <w:tc>
          <w:tcPr>
            <w:tcW w:type="dxa" w:w="1487"/>
          </w:tcPr>
          <w:p>
            <w:pPr>
              <w:spacing w:after="0"/>
              <w:jc w:val="right"/>
            </w:pPr>
            <w:r>
              <w:rPr>
                <w:sz w:val="16"/>
              </w:rPr>
              <w:t>115</w:t>
            </w:r>
          </w:p>
        </w:tc>
        <w:tc>
          <w:tcPr>
            <w:tcW w:type="dxa" w:w="1422"/>
          </w:tcPr>
          <w:p>
            <w:pPr>
              <w:spacing w:after="0"/>
              <w:jc w:val="right"/>
            </w:pPr>
            <w:r>
              <w:rPr>
                <w:sz w:val="16"/>
              </w:rPr>
              <w:t>12</w:t>
            </w:r>
          </w:p>
        </w:tc>
        <w:tc>
          <w:tcPr>
            <w:tcW w:type="dxa" w:w="1356"/>
          </w:tcPr>
          <w:p>
            <w:pPr>
              <w:spacing w:after="0"/>
              <w:jc w:val="right"/>
            </w:pPr>
            <w:r>
              <w:rPr>
                <w:sz w:val="16"/>
              </w:rPr>
              <w:t>6</w:t>
            </w:r>
          </w:p>
        </w:tc>
        <w:tc>
          <w:tcPr>
            <w:tcW w:type="dxa" w:w="963"/>
          </w:tcPr>
          <w:p>
            <w:pPr>
              <w:spacing w:after="0"/>
              <w:jc w:val="right"/>
            </w:pPr>
            <w:r>
              <w:rPr>
                <w:sz w:val="16"/>
              </w:rPr>
              <w:t>21</w:t>
            </w:r>
          </w:p>
        </w:tc>
        <w:tc>
          <w:tcPr>
            <w:tcW w:type="dxa" w:w="1356"/>
          </w:tcPr>
          <w:p>
            <w:pPr>
              <w:spacing w:after="0"/>
              <w:jc w:val="right"/>
            </w:pPr>
            <w:r>
              <w:rPr>
                <w:sz w:val="16"/>
              </w:rPr>
              <w:t>4</w:t>
            </w:r>
          </w:p>
        </w:tc>
        <w:tc>
          <w:tcPr>
            <w:tcW w:type="dxa" w:w="1684"/>
          </w:tcPr>
          <w:p>
            <w:pPr>
              <w:spacing w:after="0"/>
              <w:jc w:val="right"/>
            </w:pPr>
            <w:r>
              <w:rPr>
                <w:sz w:val="16"/>
              </w:rPr>
              <w:t>1</w:t>
            </w:r>
          </w:p>
        </w:tc>
        <w:tc>
          <w:tcPr>
            <w:tcW w:type="dxa" w:w="2143"/>
          </w:tcPr>
          <w:p>
            <w:pPr>
              <w:spacing w:after="0"/>
              <w:jc w:val="left"/>
            </w:pPr>
            <w:r>
              <w:rPr>
                <w:sz w:val="16"/>
              </w:rPr>
              <w:t>1996 to 2026-06-30</w:t>
            </w:r>
          </w:p>
        </w:tc>
        <w:tc>
          <w:tcPr>
            <w:tcW w:type="dxa" w:w="2434"/>
          </w:tcPr>
          <w:p>
            <w:pPr>
              <w:spacing w:after="0"/>
              <w:jc w:val="left"/>
            </w:pPr>
          </w:p>
        </w:tc>
      </w:tr>
    </w:tbl>
    <w:p>
      <w:pPr>
        <w:spacing w:after="20" w:before="0"/>
      </w:pPr>
      <w:r>
        <w:rPr>
          <w:b/>
          <w:color w:val="555555"/>
          <w:sz w:val="15"/>
        </w:rPr>
        <w:t xml:space="preserve">Source: </w:t>
      </w:r>
      <w:r>
        <w:rPr>
          <w:color w:val="555555"/>
          <w:sz w:val="15"/>
        </w:rPr>
        <w:t xml:space="preserve">NOAA NCEI, NOAA NCEI Storm Events Database, details files (csvfiles v1.0), version c20260918, pulled 2026-09-28, </w:t>
      </w:r>
      <w:hyperlink r:id="rId15">
        <w:r>
          <w:rPr>
            <w:color w:val="1F4E99"/>
            <w:sz w:val="15"/>
            <w:u w:val="single"/>
          </w:rPr>
          <w:t>https://www.ncei.noaa.gov/pub/data/swdi/stormevents/csvfiles/</w:t>
        </w:r>
      </w:hyperlink>
    </w:p>
    <w:p>
      <w:pPr>
        <w:spacing w:after="20" w:before="0"/>
      </w:pPr>
      <w:r>
        <w:rPr>
          <w:b/>
          <w:color w:val="555555"/>
          <w:sz w:val="15"/>
        </w:rPr>
        <w:t xml:space="preserve">Source: </w:t>
      </w:r>
      <w:r>
        <w:rPr>
          <w:color w:val="555555"/>
          <w:sz w:val="15"/>
        </w:rPr>
        <w:t xml:space="preserve">FEMA, </w:t>
      </w:r>
      <w:hyperlink r:id="rId18">
        <w:r>
          <w:rPr>
            <w:color w:val="1F4E99"/>
            <w:sz w:val="15"/>
            <w:u w:val="single"/>
          </w:rPr>
          <w:t>OpenFEMA DisasterDeclarationsSummaries v2</w:t>
        </w:r>
      </w:hyperlink>
      <w:r>
        <w:rPr>
          <w:color w:val="555555"/>
          <w:sz w:val="15"/>
        </w:rPr>
        <w:t xml:space="preserve">, version 2026-09-27T010817Z, pulled 2026-09-28, </w:t>
      </w:r>
      <w:hyperlink r:id="rId19">
        <w:r>
          <w:rPr>
            <w:color w:val="1F4E99"/>
            <w:sz w:val="15"/>
            <w:u w:val="single"/>
          </w:rPr>
          <w:t>https://www.fema.gov/api/open/v2/DisasterDeclarationsSummaries</w:t>
        </w:r>
      </w:hyperlink>
      <w:r>
        <w:rPr>
          <w:color w:val="555555"/>
          <w:sz w:val="15"/>
        </w:rPr>
        <w:t xml:space="preserve"> (API)</w:t>
      </w:r>
    </w:p>
    <w:p>
      <w:pPr>
        <w:spacing w:after="20" w:before="0"/>
      </w:pPr>
      <w:r>
        <w:rPr>
          <w:b/>
          <w:color w:val="555555"/>
          <w:sz w:val="15"/>
        </w:rPr>
        <w:t xml:space="preserve">Source: </w:t>
      </w:r>
      <w:r>
        <w:rPr>
          <w:color w:val="555555"/>
          <w:sz w:val="15"/>
        </w:rPr>
        <w:t xml:space="preserve">NOAA National Weather Service, NWS county-public forecast zones correlation file, version bp03mr20 to bp16ap26 (11 files; newest bp16ap26), pulled 2026-09-28, </w:t>
      </w:r>
      <w:hyperlink r:id="rId17">
        <w:r>
          <w:rPr>
            <w:color w:val="1F4E99"/>
            <w:sz w:val="15"/>
            <w:u w:val="single"/>
          </w:rPr>
          <w:t>https://www.weather.gov/gis/ZoneCounty</w:t>
        </w:r>
      </w:hyperlink>
    </w:p>
    <w:p>
      <w:pPr>
        <w:spacing w:after="80" w:before="0"/>
      </w:pPr>
    </w:p>
    <w:p>
      <w:pPr>
        <w:pStyle w:val="Heading3"/>
        <w:keepNext/>
        <w:spacing w:after="80"/>
      </w:pPr>
      <w:r>
        <w:rPr/>
        <w:t>Notable Storm Events records</w:t>
      </w:r>
    </w:p>
    <w:tbl>
      <w:tblPr>
        <w:tblW w:type="auto" w:w="0"/>
        <w:jc w:val="left"/>
        <w:tblBorders>
          <w:top w:val="single" w:sz="4" w:space="0" w:color="808080"/>
          <w:left w:val="single" w:sz="4" w:space="0" w:color="808080"/>
          <w:bottom w:val="single" w:sz="4" w:space="0" w:color="808080"/>
          <w:right w:val="single" w:sz="4" w:space="0" w:color="808080"/>
          <w:insideH w:val="single" w:sz="4" w:space="0" w:color="808080"/>
          <w:insideV w:val="single" w:sz="4" w:space="0" w:color="808080"/>
        </w:tblBorders>
        <w:tblLayout w:type="fixed"/>
        <w:tblCellMar>
          <w:top w:w="15" w:type="dxa"/>
          <w:left w:w="60" w:type="dxa"/>
          <w:bottom w:w="15" w:type="dxa"/>
          <w:right w:w="60" w:type="dxa"/>
        </w:tblCellMar>
        <w:tblLook w:firstColumn="1" w:firstRow="1" w:lastColumn="0" w:lastRow="0" w:noHBand="0" w:noVBand="1" w:val="04A0"/>
        <w:tblCaption w:val="Notable Storm Events records"/>
        <w:tblDescription w:val="Hazard Plain table b1d_notable"/>
      </w:tblPr>
      <w:tblGrid>
        <w:gridCol w:w="1037"/>
        <w:gridCol w:w="1215"/>
        <w:gridCol w:w="3127"/>
        <w:gridCol w:w="3367"/>
        <w:gridCol w:w="1154"/>
        <w:gridCol w:w="1924"/>
        <w:gridCol w:w="648"/>
        <w:gridCol w:w="1640"/>
      </w:tblGrid>
      <w:tr>
        <w:trPr>
          <w:cantSplit/>
          <w:tblHeader/>
        </w:trPr>
        <w:tc>
          <w:tcPr>
            <w:tcW w:type="dxa" w:w="1037"/>
            <w:shd w:val="clear" w:color="auto" w:fill="E8E8E8"/>
          </w:tcPr>
          <w:p>
            <w:pPr>
              <w:spacing w:after="0"/>
              <w:jc w:val="left"/>
            </w:pPr>
            <w:r>
              <w:rPr>
                <w:b/>
                <w:sz w:val="16"/>
              </w:rPr>
              <w:t>Date</w:t>
            </w:r>
          </w:p>
        </w:tc>
        <w:tc>
          <w:tcPr>
            <w:tcW w:type="dxa" w:w="1215"/>
            <w:shd w:val="clear" w:color="auto" w:fill="E8E8E8"/>
          </w:tcPr>
          <w:p>
            <w:pPr>
              <w:spacing w:after="0"/>
              <w:jc w:val="left"/>
            </w:pPr>
            <w:r>
              <w:rPr>
                <w:b/>
                <w:sz w:val="16"/>
              </w:rPr>
              <w:t>Event type</w:t>
            </w:r>
          </w:p>
        </w:tc>
        <w:tc>
          <w:tcPr>
            <w:tcW w:type="dxa" w:w="3127"/>
            <w:shd w:val="clear" w:color="auto" w:fill="E8E8E8"/>
          </w:tcPr>
          <w:p>
            <w:pPr>
              <w:spacing w:after="0"/>
              <w:jc w:val="left"/>
            </w:pPr>
            <w:r>
              <w:rPr>
                <w:b/>
                <w:sz w:val="16"/>
              </w:rPr>
              <w:t>Magnitude or extent</w:t>
            </w:r>
          </w:p>
        </w:tc>
        <w:tc>
          <w:tcPr>
            <w:tcW w:type="dxa" w:w="3367"/>
            <w:shd w:val="clear" w:color="auto" w:fill="E8E8E8"/>
          </w:tcPr>
          <w:p>
            <w:pPr>
              <w:spacing w:after="0"/>
              <w:jc w:val="left"/>
            </w:pPr>
            <w:r>
              <w:rPr>
                <w:b/>
                <w:sz w:val="16"/>
              </w:rPr>
              <w:t>Damage</w:t>
            </w:r>
          </w:p>
          <w:p>
            <w:pPr>
              <w:spacing w:after="0"/>
              <w:jc w:val="left"/>
            </w:pPr>
            <w:r>
              <w:rPr>
                <w:i/>
                <w:color w:val="555555"/>
                <w:sz w:val="14"/>
              </w:rPr>
              <w:t>nominal dollars</w:t>
            </w:r>
          </w:p>
        </w:tc>
        <w:tc>
          <w:tcPr>
            <w:tcW w:type="dxa" w:w="1154"/>
            <w:shd w:val="clear" w:color="auto" w:fill="E8E8E8"/>
          </w:tcPr>
          <w:p>
            <w:pPr>
              <w:spacing w:after="0"/>
              <w:jc w:val="right"/>
            </w:pPr>
            <w:r>
              <w:rPr>
                <w:b/>
                <w:sz w:val="16"/>
              </w:rPr>
              <w:t>Direct deaths, injuries</w:t>
            </w:r>
          </w:p>
          <w:p>
            <w:pPr>
              <w:spacing w:after="0"/>
              <w:jc w:val="right"/>
            </w:pPr>
            <w:r>
              <w:rPr>
                <w:i/>
                <w:color w:val="555555"/>
                <w:sz w:val="14"/>
              </w:rPr>
              <w:t>indirect not counted</w:t>
            </w:r>
          </w:p>
        </w:tc>
        <w:tc>
          <w:tcPr>
            <w:tcW w:type="dxa" w:w="1924"/>
            <w:shd w:val="clear" w:color="auto" w:fill="E8E8E8"/>
          </w:tcPr>
          <w:p>
            <w:pPr>
              <w:spacing w:after="0"/>
              <w:jc w:val="left"/>
            </w:pPr>
            <w:r>
              <w:rPr>
                <w:b/>
                <w:sz w:val="16"/>
              </w:rPr>
              <w:t>Location</w:t>
            </w:r>
          </w:p>
        </w:tc>
        <w:tc>
          <w:tcPr>
            <w:tcW w:type="dxa" w:w="648"/>
            <w:shd w:val="clear" w:color="auto" w:fill="E8E8E8"/>
          </w:tcPr>
          <w:p>
            <w:pPr>
              <w:spacing w:after="0"/>
              <w:jc w:val="left"/>
            </w:pPr>
            <w:r>
              <w:rPr>
                <w:b/>
                <w:sz w:val="16"/>
              </w:rPr>
              <w:t>Flags</w:t>
            </w:r>
          </w:p>
        </w:tc>
        <w:tc>
          <w:tcPr>
            <w:tcW w:type="dxa" w:w="1640"/>
            <w:shd w:val="clear" w:color="auto" w:fill="E8E8E8"/>
          </w:tcPr>
          <w:p>
            <w:pPr>
              <w:spacing w:after="0"/>
              <w:jc w:val="left"/>
            </w:pPr>
            <w:r>
              <w:rPr>
                <w:b/>
                <w:sz w:val="16"/>
              </w:rPr>
              <w:t>Why listed</w:t>
            </w:r>
          </w:p>
        </w:tc>
      </w:tr>
      <w:tr>
        <w:trPr>
          <w:cantSplit/>
        </w:trPr>
        <w:tc>
          <w:tcPr>
            <w:tcW w:type="dxa" w:w="1037"/>
          </w:tcPr>
          <w:p>
            <w:pPr>
              <w:spacing w:after="0"/>
              <w:jc w:val="left"/>
            </w:pPr>
            <w:r>
              <w:rPr>
                <w:sz w:val="16"/>
              </w:rPr>
              <w:t>2014-05-09</w:t>
            </w:r>
          </w:p>
        </w:tc>
        <w:tc>
          <w:tcPr>
            <w:tcW w:type="dxa" w:w="1215"/>
          </w:tcPr>
          <w:p>
            <w:pPr>
              <w:spacing w:after="0"/>
              <w:jc w:val="left"/>
            </w:pPr>
            <w:r>
              <w:rPr>
                <w:sz w:val="16"/>
              </w:rPr>
              <w:t>Thunderstorm Wind</w:t>
            </w:r>
          </w:p>
        </w:tc>
        <w:tc>
          <w:tcPr>
            <w:tcW w:type="dxa" w:w="3127"/>
          </w:tcPr>
          <w:p>
            <w:pPr>
              <w:spacing w:after="0"/>
              <w:jc w:val="left"/>
            </w:pPr>
            <w:r>
              <w:rPr>
                <w:sz w:val="16"/>
              </w:rPr>
              <w:t>104 kt (120 mph) estimated gust</w:t>
            </w:r>
          </w:p>
        </w:tc>
        <w:tc>
          <w:tcPr>
            <w:tcW w:type="dxa" w:w="3367"/>
          </w:tcPr>
          <w:p>
            <w:pPr>
              <w:spacing w:after="0"/>
              <w:jc w:val="left"/>
            </w:pPr>
            <w:r>
              <w:rPr>
                <w:sz w:val="16"/>
              </w:rPr>
              <w:t>$25,000,000 property; $0 crops (2014 dollars)</w:t>
            </w:r>
          </w:p>
        </w:tc>
        <w:tc>
          <w:tcPr>
            <w:tcW w:type="dxa" w:w="1154"/>
          </w:tcPr>
          <w:p>
            <w:pPr>
              <w:spacing w:after="0"/>
              <w:jc w:val="right"/>
            </w:pPr>
            <w:r>
              <w:rPr>
                <w:sz w:val="16"/>
              </w:rPr>
              <w:t>0, 0</w:t>
            </w:r>
          </w:p>
        </w:tc>
        <w:tc>
          <w:tcPr>
            <w:tcW w:type="dxa" w:w="1924"/>
          </w:tcPr>
          <w:p>
            <w:pPr>
              <w:spacing w:after="0"/>
              <w:jc w:val="left"/>
            </w:pPr>
            <w:r>
              <w:rPr>
                <w:sz w:val="16"/>
              </w:rPr>
              <w:t>STEVENSON to TENNYSON</w:t>
            </w:r>
          </w:p>
        </w:tc>
        <w:tc>
          <w:tcPr>
            <w:tcW w:type="dxa" w:w="648"/>
          </w:tcPr>
          <w:p>
            <w:pPr>
              <w:spacing w:after="0"/>
              <w:jc w:val="left"/>
            </w:pPr>
          </w:p>
        </w:tc>
        <w:tc>
          <w:tcPr>
            <w:tcW w:type="dxa" w:w="1640"/>
          </w:tcPr>
          <w:p>
            <w:pPr>
              <w:spacing w:after="0"/>
              <w:jc w:val="left"/>
            </w:pPr>
            <w:r>
              <w:rPr>
                <w:sz w:val="16"/>
              </w:rPr>
              <w:t>B1-c worst recorded: Thunderstorm Wind</w:t>
            </w:r>
          </w:p>
        </w:tc>
      </w:tr>
      <w:tr>
        <w:trPr>
          <w:cantSplit/>
        </w:trPr>
        <w:tc>
          <w:tcPr>
            <w:tcW w:type="dxa" w:w="1037"/>
          </w:tcPr>
          <w:p>
            <w:pPr>
              <w:spacing w:after="0"/>
              <w:jc w:val="left"/>
            </w:pPr>
            <w:r>
              <w:rPr>
                <w:sz w:val="16"/>
              </w:rPr>
              <w:t>2009-01-26</w:t>
            </w:r>
          </w:p>
        </w:tc>
        <w:tc>
          <w:tcPr>
            <w:tcW w:type="dxa" w:w="1215"/>
          </w:tcPr>
          <w:p>
            <w:pPr>
              <w:spacing w:after="0"/>
              <w:jc w:val="left"/>
            </w:pPr>
            <w:r>
              <w:rPr>
                <w:sz w:val="16"/>
              </w:rPr>
              <w:t>Winter Storm</w:t>
            </w:r>
          </w:p>
        </w:tc>
        <w:tc>
          <w:tcPr>
            <w:tcW w:type="dxa" w:w="3127"/>
          </w:tcPr>
          <w:p>
            <w:pPr>
              <w:spacing w:after="0"/>
              <w:jc w:val="left"/>
            </w:pPr>
          </w:p>
        </w:tc>
        <w:tc>
          <w:tcPr>
            <w:tcW w:type="dxa" w:w="3367"/>
          </w:tcPr>
          <w:p>
            <w:pPr>
              <w:spacing w:after="0"/>
              <w:jc w:val="left"/>
            </w:pPr>
            <w:r>
              <w:rPr>
                <w:sz w:val="16"/>
              </w:rPr>
              <w:t>$8,000,000 property; $0 crops, reported for the zone (2009 dollars)</w:t>
            </w:r>
          </w:p>
        </w:tc>
        <w:tc>
          <w:tcPr>
            <w:tcW w:type="dxa" w:w="1154"/>
          </w:tcPr>
          <w:p>
            <w:pPr>
              <w:spacing w:after="0"/>
              <w:jc w:val="right"/>
            </w:pPr>
            <w:r>
              <w:rPr>
                <w:sz w:val="16"/>
              </w:rPr>
              <w:t>0, 0</w:t>
            </w:r>
          </w:p>
        </w:tc>
        <w:tc>
          <w:tcPr>
            <w:tcW w:type="dxa" w:w="1924"/>
          </w:tcPr>
          <w:p>
            <w:pPr>
              <w:spacing w:after="0"/>
              <w:jc w:val="left"/>
            </w:pPr>
            <w:r>
              <w:rPr>
                <w:sz w:val="16"/>
              </w:rPr>
              <w:t>NWS zone INZ087 (WARRICK), zone-level: may include parts of neighboring counties</w:t>
            </w:r>
          </w:p>
        </w:tc>
        <w:tc>
          <w:tcPr>
            <w:tcW w:type="dxa" w:w="648"/>
          </w:tcPr>
          <w:p>
            <w:pPr>
              <w:spacing w:after="0"/>
              <w:jc w:val="left"/>
            </w:pPr>
          </w:p>
        </w:tc>
        <w:tc>
          <w:tcPr>
            <w:tcW w:type="dxa" w:w="1640"/>
          </w:tcPr>
          <w:p>
            <w:pPr>
              <w:spacing w:after="0"/>
              <w:jc w:val="left"/>
            </w:pPr>
            <w:r>
              <w:rPr>
                <w:sz w:val="16"/>
              </w:rPr>
              <w:t>B1-c worst recorded: Winter Storm, Heavy Snow, Blizzard, Lake-Effect Snow, Winter Weather, Sleet</w:t>
            </w:r>
          </w:p>
        </w:tc>
      </w:tr>
      <w:tr>
        <w:trPr>
          <w:cantSplit/>
        </w:trPr>
        <w:tc>
          <w:tcPr>
            <w:tcW w:type="dxa" w:w="1037"/>
          </w:tcPr>
          <w:p>
            <w:pPr>
              <w:spacing w:after="0"/>
              <w:jc w:val="left"/>
            </w:pPr>
            <w:r>
              <w:rPr>
                <w:sz w:val="16"/>
              </w:rPr>
              <w:t>2008-09-14</w:t>
            </w:r>
          </w:p>
        </w:tc>
        <w:tc>
          <w:tcPr>
            <w:tcW w:type="dxa" w:w="1215"/>
          </w:tcPr>
          <w:p>
            <w:pPr>
              <w:spacing w:after="0"/>
              <w:jc w:val="left"/>
            </w:pPr>
            <w:r>
              <w:rPr>
                <w:sz w:val="16"/>
              </w:rPr>
              <w:t>High Wind</w:t>
            </w:r>
          </w:p>
        </w:tc>
        <w:tc>
          <w:tcPr>
            <w:tcW w:type="dxa" w:w="3127"/>
          </w:tcPr>
          <w:p>
            <w:pPr>
              <w:spacing w:after="0"/>
              <w:jc w:val="left"/>
            </w:pPr>
            <w:r>
              <w:rPr>
                <w:sz w:val="16"/>
              </w:rPr>
              <w:t>56 kt (64 mph) estimated gust</w:t>
            </w:r>
          </w:p>
        </w:tc>
        <w:tc>
          <w:tcPr>
            <w:tcW w:type="dxa" w:w="3367"/>
          </w:tcPr>
          <w:p>
            <w:pPr>
              <w:spacing w:after="0"/>
              <w:jc w:val="left"/>
            </w:pPr>
            <w:r>
              <w:rPr>
                <w:sz w:val="16"/>
              </w:rPr>
              <w:t>$6,000,000 property; $4,000,000 crops, reported for the zone (2008 dollars)</w:t>
            </w:r>
          </w:p>
        </w:tc>
        <w:tc>
          <w:tcPr>
            <w:tcW w:type="dxa" w:w="1154"/>
          </w:tcPr>
          <w:p>
            <w:pPr>
              <w:spacing w:after="0"/>
              <w:jc w:val="right"/>
            </w:pPr>
            <w:r>
              <w:rPr>
                <w:sz w:val="16"/>
              </w:rPr>
              <w:t>0, 0</w:t>
            </w:r>
          </w:p>
        </w:tc>
        <w:tc>
          <w:tcPr>
            <w:tcW w:type="dxa" w:w="1924"/>
          </w:tcPr>
          <w:p>
            <w:pPr>
              <w:spacing w:after="0"/>
              <w:jc w:val="left"/>
            </w:pPr>
            <w:r>
              <w:rPr>
                <w:sz w:val="16"/>
              </w:rPr>
              <w:t>NWS zone INZ087 (WARRICK), zone-level: may include parts of neighboring counties</w:t>
            </w:r>
          </w:p>
        </w:tc>
        <w:tc>
          <w:tcPr>
            <w:tcW w:type="dxa" w:w="648"/>
          </w:tcPr>
          <w:p>
            <w:pPr>
              <w:spacing w:after="0"/>
              <w:jc w:val="left"/>
            </w:pPr>
          </w:p>
        </w:tc>
        <w:tc>
          <w:tcPr>
            <w:tcW w:type="dxa" w:w="1640"/>
          </w:tcPr>
          <w:p>
            <w:pPr>
              <w:spacing w:after="0"/>
              <w:jc w:val="left"/>
            </w:pPr>
            <w:r>
              <w:rPr>
                <w:sz w:val="16"/>
              </w:rPr>
              <w:t>B1-c worst recorded: High Wind and Strong Wind (outside NRI Strong Wind definition)</w:t>
            </w:r>
          </w:p>
        </w:tc>
      </w:tr>
      <w:tr>
        <w:trPr>
          <w:cantSplit/>
        </w:trPr>
        <w:tc>
          <w:tcPr>
            <w:tcW w:type="dxa" w:w="1037"/>
          </w:tcPr>
          <w:p>
            <w:pPr>
              <w:spacing w:after="0"/>
              <w:jc w:val="left"/>
            </w:pPr>
            <w:r>
              <w:rPr>
                <w:sz w:val="16"/>
              </w:rPr>
              <w:t>2008-04-15</w:t>
            </w:r>
          </w:p>
        </w:tc>
        <w:tc>
          <w:tcPr>
            <w:tcW w:type="dxa" w:w="1215"/>
          </w:tcPr>
          <w:p>
            <w:pPr>
              <w:spacing w:after="0"/>
              <w:jc w:val="left"/>
            </w:pPr>
            <w:r>
              <w:rPr>
                <w:sz w:val="16"/>
              </w:rPr>
              <w:t>Frost/Freeze</w:t>
            </w:r>
          </w:p>
        </w:tc>
        <w:tc>
          <w:tcPr>
            <w:tcW w:type="dxa" w:w="3127"/>
          </w:tcPr>
          <w:p>
            <w:pPr>
              <w:spacing w:after="0"/>
              <w:jc w:val="left"/>
            </w:pPr>
          </w:p>
        </w:tc>
        <w:tc>
          <w:tcPr>
            <w:tcW w:type="dxa" w:w="3367"/>
          </w:tcPr>
          <w:p>
            <w:pPr>
              <w:spacing w:after="0"/>
              <w:jc w:val="left"/>
            </w:pPr>
            <w:r>
              <w:rPr>
                <w:sz w:val="16"/>
              </w:rPr>
              <w:t>$0 property; $10,000 crops, reported for the zone (2008 dollars)</w:t>
            </w:r>
          </w:p>
        </w:tc>
        <w:tc>
          <w:tcPr>
            <w:tcW w:type="dxa" w:w="1154"/>
          </w:tcPr>
          <w:p>
            <w:pPr>
              <w:spacing w:after="0"/>
              <w:jc w:val="right"/>
            </w:pPr>
            <w:r>
              <w:rPr>
                <w:sz w:val="16"/>
              </w:rPr>
              <w:t>0, 0</w:t>
            </w:r>
          </w:p>
        </w:tc>
        <w:tc>
          <w:tcPr>
            <w:tcW w:type="dxa" w:w="1924"/>
          </w:tcPr>
          <w:p>
            <w:pPr>
              <w:spacing w:after="0"/>
              <w:jc w:val="left"/>
            </w:pPr>
            <w:r>
              <w:rPr>
                <w:sz w:val="16"/>
              </w:rPr>
              <w:t>NWS zone INZ087 (WARRICK), zone-level: may include parts of neighboring counties</w:t>
            </w:r>
          </w:p>
        </w:tc>
        <w:tc>
          <w:tcPr>
            <w:tcW w:type="dxa" w:w="648"/>
          </w:tcPr>
          <w:p>
            <w:pPr>
              <w:spacing w:after="0"/>
              <w:jc w:val="left"/>
            </w:pPr>
          </w:p>
        </w:tc>
        <w:tc>
          <w:tcPr>
            <w:tcW w:type="dxa" w:w="1640"/>
          </w:tcPr>
          <w:p>
            <w:pPr>
              <w:spacing w:after="0"/>
              <w:jc w:val="left"/>
            </w:pPr>
            <w:r>
              <w:rPr>
                <w:sz w:val="16"/>
              </w:rPr>
              <w:t>B1-c worst recorded: Frost/Freeze (outside NRI Cold Wave definition)</w:t>
            </w:r>
          </w:p>
        </w:tc>
      </w:tr>
      <w:tr>
        <w:trPr>
          <w:cantSplit/>
        </w:trPr>
        <w:tc>
          <w:tcPr>
            <w:tcW w:type="dxa" w:w="1037"/>
          </w:tcPr>
          <w:p>
            <w:pPr>
              <w:spacing w:after="0"/>
              <w:jc w:val="left"/>
            </w:pPr>
            <w:r>
              <w:rPr>
                <w:sz w:val="16"/>
              </w:rPr>
              <w:t>2006-05-25</w:t>
            </w:r>
          </w:p>
        </w:tc>
        <w:tc>
          <w:tcPr>
            <w:tcW w:type="dxa" w:w="1215"/>
          </w:tcPr>
          <w:p>
            <w:pPr>
              <w:spacing w:after="0"/>
              <w:jc w:val="left"/>
            </w:pPr>
            <w:r>
              <w:rPr>
                <w:sz w:val="16"/>
              </w:rPr>
              <w:t>Hail</w:t>
            </w:r>
          </w:p>
        </w:tc>
        <w:tc>
          <w:tcPr>
            <w:tcW w:type="dxa" w:w="3127"/>
          </w:tcPr>
          <w:p>
            <w:pPr>
              <w:spacing w:after="0"/>
              <w:jc w:val="left"/>
            </w:pPr>
            <w:r>
              <w:rPr>
                <w:sz w:val="16"/>
              </w:rPr>
              <w:t>4.25 in</w:t>
            </w:r>
          </w:p>
        </w:tc>
        <w:tc>
          <w:tcPr>
            <w:tcW w:type="dxa" w:w="3367"/>
          </w:tcPr>
          <w:p>
            <w:pPr>
              <w:spacing w:after="0"/>
              <w:jc w:val="left"/>
            </w:pPr>
            <w:r>
              <w:rPr>
                <w:sz w:val="16"/>
              </w:rPr>
              <w:t>damage not reported</w:t>
            </w:r>
          </w:p>
        </w:tc>
        <w:tc>
          <w:tcPr>
            <w:tcW w:type="dxa" w:w="1154"/>
          </w:tcPr>
          <w:p>
            <w:pPr>
              <w:spacing w:after="0"/>
              <w:jc w:val="right"/>
            </w:pPr>
            <w:r>
              <w:rPr>
                <w:sz w:val="16"/>
              </w:rPr>
              <w:t>0, 0</w:t>
            </w:r>
          </w:p>
        </w:tc>
        <w:tc>
          <w:tcPr>
            <w:tcW w:type="dxa" w:w="1924"/>
          </w:tcPr>
          <w:p>
            <w:pPr>
              <w:spacing w:after="0"/>
              <w:jc w:val="left"/>
            </w:pPr>
            <w:r>
              <w:rPr>
                <w:sz w:val="16"/>
              </w:rPr>
              <w:t>SELVIN</w:t>
            </w:r>
          </w:p>
        </w:tc>
        <w:tc>
          <w:tcPr>
            <w:tcW w:type="dxa" w:w="648"/>
          </w:tcPr>
          <w:p>
            <w:pPr>
              <w:spacing w:after="0"/>
              <w:jc w:val="left"/>
            </w:pPr>
          </w:p>
        </w:tc>
        <w:tc>
          <w:tcPr>
            <w:tcW w:type="dxa" w:w="1640"/>
          </w:tcPr>
          <w:p>
            <w:pPr>
              <w:spacing w:after="0"/>
              <w:jc w:val="left"/>
            </w:pPr>
            <w:r>
              <w:rPr>
                <w:sz w:val="16"/>
              </w:rPr>
              <w:t>B1-c worst recorded: Hail</w:t>
            </w:r>
          </w:p>
        </w:tc>
      </w:tr>
      <w:tr>
        <w:trPr>
          <w:cantSplit/>
        </w:trPr>
        <w:tc>
          <w:tcPr>
            <w:tcW w:type="dxa" w:w="1037"/>
          </w:tcPr>
          <w:p>
            <w:pPr>
              <w:spacing w:after="0"/>
              <w:jc w:val="left"/>
            </w:pPr>
            <w:r>
              <w:rPr>
                <w:sz w:val="16"/>
              </w:rPr>
              <w:t>2005-11-15</w:t>
            </w:r>
          </w:p>
        </w:tc>
        <w:tc>
          <w:tcPr>
            <w:tcW w:type="dxa" w:w="1215"/>
          </w:tcPr>
          <w:p>
            <w:pPr>
              <w:spacing w:after="0"/>
              <w:jc w:val="left"/>
            </w:pPr>
            <w:r>
              <w:rPr>
                <w:sz w:val="16"/>
              </w:rPr>
              <w:t>Flash Flood</w:t>
            </w:r>
          </w:p>
        </w:tc>
        <w:tc>
          <w:tcPr>
            <w:tcW w:type="dxa" w:w="3127"/>
          </w:tcPr>
          <w:p>
            <w:pPr>
              <w:spacing w:after="0"/>
              <w:jc w:val="left"/>
            </w:pPr>
          </w:p>
        </w:tc>
        <w:tc>
          <w:tcPr>
            <w:tcW w:type="dxa" w:w="3367"/>
          </w:tcPr>
          <w:p>
            <w:pPr>
              <w:spacing w:after="0"/>
              <w:jc w:val="left"/>
            </w:pPr>
            <w:r>
              <w:rPr>
                <w:sz w:val="16"/>
              </w:rPr>
              <w:t>$350,000 property; crops not reported (2005 dollars)</w:t>
            </w:r>
          </w:p>
        </w:tc>
        <w:tc>
          <w:tcPr>
            <w:tcW w:type="dxa" w:w="1154"/>
          </w:tcPr>
          <w:p>
            <w:pPr>
              <w:spacing w:after="0"/>
              <w:jc w:val="right"/>
            </w:pPr>
            <w:r>
              <w:rPr>
                <w:sz w:val="16"/>
              </w:rPr>
              <w:t>0, 0</w:t>
            </w:r>
          </w:p>
        </w:tc>
        <w:tc>
          <w:tcPr>
            <w:tcW w:type="dxa" w:w="1924"/>
          </w:tcPr>
          <w:p>
            <w:pPr>
              <w:spacing w:after="0"/>
              <w:jc w:val="left"/>
            </w:pPr>
            <w:r>
              <w:rPr>
                <w:sz w:val="16"/>
              </w:rPr>
              <w:t>COUNTYWIDE</w:t>
            </w:r>
          </w:p>
        </w:tc>
        <w:tc>
          <w:tcPr>
            <w:tcW w:type="dxa" w:w="648"/>
          </w:tcPr>
          <w:p>
            <w:pPr>
              <w:spacing w:after="0"/>
              <w:jc w:val="left"/>
            </w:pPr>
          </w:p>
        </w:tc>
        <w:tc>
          <w:tcPr>
            <w:tcW w:type="dxa" w:w="1640"/>
          </w:tcPr>
          <w:p>
            <w:pPr>
              <w:spacing w:after="0"/>
              <w:jc w:val="left"/>
            </w:pPr>
            <w:r>
              <w:rPr>
                <w:sz w:val="16"/>
              </w:rPr>
              <w:t>B1-c worst recorded: Flash Flood, Flood, Lakeshore Flood</w:t>
            </w:r>
          </w:p>
        </w:tc>
      </w:tr>
      <w:tr>
        <w:trPr>
          <w:cantSplit/>
        </w:trPr>
        <w:tc>
          <w:tcPr>
            <w:tcW w:type="dxa" w:w="1037"/>
          </w:tcPr>
          <w:p>
            <w:pPr>
              <w:spacing w:after="0"/>
              <w:jc w:val="left"/>
            </w:pPr>
            <w:r>
              <w:rPr>
                <w:sz w:val="16"/>
              </w:rPr>
              <w:t>2005-11-06</w:t>
            </w:r>
          </w:p>
        </w:tc>
        <w:tc>
          <w:tcPr>
            <w:tcW w:type="dxa" w:w="1215"/>
          </w:tcPr>
          <w:p>
            <w:pPr>
              <w:spacing w:after="0"/>
              <w:jc w:val="left"/>
            </w:pPr>
            <w:r>
              <w:rPr>
                <w:sz w:val="16"/>
              </w:rPr>
              <w:t>Tornado</w:t>
            </w:r>
          </w:p>
        </w:tc>
        <w:tc>
          <w:tcPr>
            <w:tcW w:type="dxa" w:w="3127"/>
          </w:tcPr>
          <w:p>
            <w:pPr>
              <w:spacing w:after="0"/>
              <w:jc w:val="left"/>
            </w:pPr>
            <w:r>
              <w:rPr>
                <w:sz w:val="16"/>
              </w:rPr>
              <w:t>F3, 21 mi within this county, 500 yd wide</w:t>
            </w:r>
          </w:p>
        </w:tc>
        <w:tc>
          <w:tcPr>
            <w:tcW w:type="dxa" w:w="3367"/>
          </w:tcPr>
          <w:p>
            <w:pPr>
              <w:spacing w:after="0"/>
              <w:jc w:val="left"/>
            </w:pPr>
            <w:r>
              <w:rPr>
                <w:sz w:val="16"/>
              </w:rPr>
              <w:t>$65,000,000 property; crops not reported (2005 dollars)</w:t>
            </w:r>
          </w:p>
        </w:tc>
        <w:tc>
          <w:tcPr>
            <w:tcW w:type="dxa" w:w="1154"/>
          </w:tcPr>
          <w:p>
            <w:pPr>
              <w:spacing w:after="0"/>
              <w:jc w:val="right"/>
            </w:pPr>
            <w:r>
              <w:rPr>
                <w:sz w:val="16"/>
              </w:rPr>
              <w:t>4, 30</w:t>
            </w:r>
          </w:p>
        </w:tc>
        <w:tc>
          <w:tcPr>
            <w:tcW w:type="dxa" w:w="1924"/>
          </w:tcPr>
          <w:p>
            <w:pPr>
              <w:spacing w:after="0"/>
              <w:jc w:val="left"/>
            </w:pPr>
            <w:r>
              <w:rPr>
                <w:sz w:val="16"/>
              </w:rPr>
              <w:t>NEWBURGH</w:t>
            </w:r>
          </w:p>
        </w:tc>
        <w:tc>
          <w:tcPr>
            <w:tcW w:type="dxa" w:w="648"/>
          </w:tcPr>
          <w:p>
            <w:pPr>
              <w:spacing w:after="0"/>
              <w:jc w:val="left"/>
            </w:pPr>
          </w:p>
        </w:tc>
        <w:tc>
          <w:tcPr>
            <w:tcW w:type="dxa" w:w="1640"/>
          </w:tcPr>
          <w:p>
            <w:pPr>
              <w:spacing w:after="0"/>
              <w:jc w:val="left"/>
            </w:pPr>
            <w:r>
              <w:rPr>
                <w:sz w:val="16"/>
              </w:rPr>
              <w:t>deaths or injuries recorded</w:t>
            </w:r>
          </w:p>
        </w:tc>
      </w:tr>
      <w:tr>
        <w:trPr>
          <w:cantSplit/>
        </w:trPr>
        <w:tc>
          <w:tcPr>
            <w:tcW w:type="dxa" w:w="1037"/>
          </w:tcPr>
          <w:p>
            <w:pPr>
              <w:spacing w:after="0"/>
              <w:jc w:val="left"/>
            </w:pPr>
            <w:r>
              <w:rPr>
                <w:sz w:val="16"/>
              </w:rPr>
              <w:t>2005-04-22</w:t>
            </w:r>
          </w:p>
        </w:tc>
        <w:tc>
          <w:tcPr>
            <w:tcW w:type="dxa" w:w="1215"/>
          </w:tcPr>
          <w:p>
            <w:pPr>
              <w:spacing w:after="0"/>
              <w:jc w:val="left"/>
            </w:pPr>
            <w:r>
              <w:rPr>
                <w:sz w:val="16"/>
              </w:rPr>
              <w:t>Lightning</w:t>
            </w:r>
          </w:p>
        </w:tc>
        <w:tc>
          <w:tcPr>
            <w:tcW w:type="dxa" w:w="3127"/>
          </w:tcPr>
          <w:p>
            <w:pPr>
              <w:spacing w:after="0"/>
              <w:jc w:val="left"/>
            </w:pPr>
          </w:p>
        </w:tc>
        <w:tc>
          <w:tcPr>
            <w:tcW w:type="dxa" w:w="3367"/>
          </w:tcPr>
          <w:p>
            <w:pPr>
              <w:spacing w:after="0"/>
              <w:jc w:val="left"/>
            </w:pPr>
            <w:r>
              <w:rPr>
                <w:sz w:val="16"/>
              </w:rPr>
              <w:t>$10,000 property; crops not reported (2005 dollars)</w:t>
            </w:r>
          </w:p>
        </w:tc>
        <w:tc>
          <w:tcPr>
            <w:tcW w:type="dxa" w:w="1154"/>
          </w:tcPr>
          <w:p>
            <w:pPr>
              <w:spacing w:after="0"/>
              <w:jc w:val="right"/>
            </w:pPr>
            <w:r>
              <w:rPr>
                <w:sz w:val="16"/>
              </w:rPr>
              <w:t>0, 0</w:t>
            </w:r>
          </w:p>
        </w:tc>
        <w:tc>
          <w:tcPr>
            <w:tcW w:type="dxa" w:w="1924"/>
          </w:tcPr>
          <w:p>
            <w:pPr>
              <w:spacing w:after="0"/>
              <w:jc w:val="left"/>
            </w:pPr>
            <w:r>
              <w:rPr>
                <w:sz w:val="16"/>
              </w:rPr>
              <w:t>SELVIN</w:t>
            </w:r>
          </w:p>
        </w:tc>
        <w:tc>
          <w:tcPr>
            <w:tcW w:type="dxa" w:w="648"/>
          </w:tcPr>
          <w:p>
            <w:pPr>
              <w:spacing w:after="0"/>
              <w:jc w:val="left"/>
            </w:pPr>
          </w:p>
        </w:tc>
        <w:tc>
          <w:tcPr>
            <w:tcW w:type="dxa" w:w="1640"/>
          </w:tcPr>
          <w:p>
            <w:pPr>
              <w:spacing w:after="0"/>
              <w:jc w:val="left"/>
            </w:pPr>
            <w:r>
              <w:rPr>
                <w:sz w:val="16"/>
              </w:rPr>
              <w:t>B1-c worst recorded: Lightning</w:t>
            </w:r>
          </w:p>
        </w:tc>
      </w:tr>
      <w:tr>
        <w:trPr>
          <w:cantSplit/>
        </w:trPr>
        <w:tc>
          <w:tcPr>
            <w:tcW w:type="dxa" w:w="1037"/>
          </w:tcPr>
          <w:p>
            <w:pPr>
              <w:spacing w:after="0"/>
              <w:jc w:val="left"/>
            </w:pPr>
            <w:r>
              <w:rPr>
                <w:sz w:val="16"/>
              </w:rPr>
              <w:t>2000-12-12</w:t>
            </w:r>
          </w:p>
        </w:tc>
        <w:tc>
          <w:tcPr>
            <w:tcW w:type="dxa" w:w="1215"/>
          </w:tcPr>
          <w:p>
            <w:pPr>
              <w:spacing w:after="0"/>
              <w:jc w:val="left"/>
            </w:pPr>
            <w:r>
              <w:rPr>
                <w:sz w:val="16"/>
              </w:rPr>
              <w:t>Extreme Cold/Wind Chill</w:t>
            </w:r>
          </w:p>
        </w:tc>
        <w:tc>
          <w:tcPr>
            <w:tcW w:type="dxa" w:w="3127"/>
          </w:tcPr>
          <w:p>
            <w:pPr>
              <w:spacing w:after="0"/>
              <w:jc w:val="left"/>
            </w:pPr>
          </w:p>
        </w:tc>
        <w:tc>
          <w:tcPr>
            <w:tcW w:type="dxa" w:w="3367"/>
          </w:tcPr>
          <w:p>
            <w:pPr>
              <w:spacing w:after="0"/>
              <w:jc w:val="left"/>
            </w:pPr>
            <w:r>
              <w:rPr>
                <w:sz w:val="16"/>
              </w:rPr>
              <w:t>damage not reported</w:t>
            </w:r>
          </w:p>
        </w:tc>
        <w:tc>
          <w:tcPr>
            <w:tcW w:type="dxa" w:w="1154"/>
          </w:tcPr>
          <w:p>
            <w:pPr>
              <w:spacing w:after="0"/>
              <w:jc w:val="right"/>
            </w:pPr>
            <w:r>
              <w:rPr>
                <w:sz w:val="16"/>
              </w:rPr>
              <w:t>0, 0</w:t>
            </w:r>
          </w:p>
        </w:tc>
        <w:tc>
          <w:tcPr>
            <w:tcW w:type="dxa" w:w="1924"/>
          </w:tcPr>
          <w:p>
            <w:pPr>
              <w:spacing w:after="0"/>
              <w:jc w:val="left"/>
            </w:pPr>
            <w:r>
              <w:rPr>
                <w:sz w:val="16"/>
              </w:rPr>
              <w:t>NWS zone INZ087 (WARRICK), zone-level: may include parts of neighboring counties</w:t>
            </w:r>
          </w:p>
        </w:tc>
        <w:tc>
          <w:tcPr>
            <w:tcW w:type="dxa" w:w="648"/>
          </w:tcPr>
          <w:p>
            <w:pPr>
              <w:spacing w:after="0"/>
              <w:jc w:val="left"/>
            </w:pPr>
          </w:p>
        </w:tc>
        <w:tc>
          <w:tcPr>
            <w:tcW w:type="dxa" w:w="1640"/>
          </w:tcPr>
          <w:p>
            <w:pPr>
              <w:spacing w:after="0"/>
              <w:jc w:val="left"/>
            </w:pPr>
            <w:r>
              <w:rPr>
                <w:sz w:val="16"/>
              </w:rPr>
              <w:t>B1-c worst recorded: Cold/Wind Chill, Extreme Cold/Wind Chill</w:t>
            </w:r>
          </w:p>
        </w:tc>
      </w:tr>
      <w:tr>
        <w:trPr>
          <w:cantSplit/>
        </w:trPr>
        <w:tc>
          <w:tcPr>
            <w:tcW w:type="dxa" w:w="1037"/>
          </w:tcPr>
          <w:p>
            <w:pPr>
              <w:spacing w:after="0"/>
              <w:jc w:val="left"/>
            </w:pPr>
            <w:r>
              <w:rPr>
                <w:sz w:val="16"/>
              </w:rPr>
              <w:t>1999-07-18</w:t>
            </w:r>
          </w:p>
        </w:tc>
        <w:tc>
          <w:tcPr>
            <w:tcW w:type="dxa" w:w="1215"/>
          </w:tcPr>
          <w:p>
            <w:pPr>
              <w:spacing w:after="0"/>
              <w:jc w:val="left"/>
            </w:pPr>
            <w:r>
              <w:rPr>
                <w:sz w:val="16"/>
              </w:rPr>
              <w:t>Heat</w:t>
            </w:r>
          </w:p>
        </w:tc>
        <w:tc>
          <w:tcPr>
            <w:tcW w:type="dxa" w:w="3127"/>
          </w:tcPr>
          <w:p>
            <w:pPr>
              <w:spacing w:after="0"/>
              <w:jc w:val="left"/>
            </w:pPr>
          </w:p>
        </w:tc>
        <w:tc>
          <w:tcPr>
            <w:tcW w:type="dxa" w:w="3367"/>
          </w:tcPr>
          <w:p>
            <w:pPr>
              <w:spacing w:after="0"/>
              <w:jc w:val="left"/>
            </w:pPr>
            <w:r>
              <w:rPr>
                <w:sz w:val="16"/>
              </w:rPr>
              <w:t>damage not reported</w:t>
            </w:r>
          </w:p>
        </w:tc>
        <w:tc>
          <w:tcPr>
            <w:tcW w:type="dxa" w:w="1154"/>
          </w:tcPr>
          <w:p>
            <w:pPr>
              <w:spacing w:after="0"/>
              <w:jc w:val="right"/>
            </w:pPr>
            <w:r>
              <w:rPr>
                <w:sz w:val="16"/>
              </w:rPr>
              <w:t>0, 0</w:t>
            </w:r>
          </w:p>
        </w:tc>
        <w:tc>
          <w:tcPr>
            <w:tcW w:type="dxa" w:w="1924"/>
          </w:tcPr>
          <w:p>
            <w:pPr>
              <w:spacing w:after="0"/>
              <w:jc w:val="left"/>
            </w:pPr>
            <w:r>
              <w:rPr>
                <w:sz w:val="16"/>
              </w:rPr>
              <w:t>NWS zone INZ087 (WARRICK), zone-level: may include parts of neighboring counties</w:t>
            </w:r>
          </w:p>
        </w:tc>
        <w:tc>
          <w:tcPr>
            <w:tcW w:type="dxa" w:w="648"/>
          </w:tcPr>
          <w:p>
            <w:pPr>
              <w:spacing w:after="0"/>
              <w:jc w:val="left"/>
            </w:pPr>
          </w:p>
        </w:tc>
        <w:tc>
          <w:tcPr>
            <w:tcW w:type="dxa" w:w="1640"/>
          </w:tcPr>
          <w:p>
            <w:pPr>
              <w:spacing w:after="0"/>
              <w:jc w:val="left"/>
            </w:pPr>
            <w:r>
              <w:rPr>
                <w:sz w:val="16"/>
              </w:rPr>
              <w:t>B1-c worst recorded: Excessive Heat, Heat</w:t>
            </w:r>
          </w:p>
        </w:tc>
      </w:tr>
      <w:tr>
        <w:trPr>
          <w:cantSplit/>
        </w:trPr>
        <w:tc>
          <w:tcPr>
            <w:tcW w:type="dxa" w:w="1037"/>
          </w:tcPr>
          <w:p>
            <w:pPr>
              <w:spacing w:after="0"/>
              <w:jc w:val="left"/>
            </w:pPr>
            <w:r>
              <w:rPr>
                <w:sz w:val="16"/>
              </w:rPr>
              <w:t>1990-05-16</w:t>
            </w:r>
          </w:p>
        </w:tc>
        <w:tc>
          <w:tcPr>
            <w:tcW w:type="dxa" w:w="1215"/>
          </w:tcPr>
          <w:p>
            <w:pPr>
              <w:spacing w:after="0"/>
              <w:jc w:val="left"/>
            </w:pPr>
            <w:r>
              <w:rPr>
                <w:sz w:val="16"/>
              </w:rPr>
              <w:t>Thunderstorm Wind</w:t>
            </w:r>
          </w:p>
        </w:tc>
        <w:tc>
          <w:tcPr>
            <w:tcW w:type="dxa" w:w="3127"/>
          </w:tcPr>
          <w:p>
            <w:pPr>
              <w:spacing w:after="0"/>
              <w:jc w:val="left"/>
            </w:pPr>
            <w:r>
              <w:rPr>
                <w:sz w:val="16"/>
              </w:rPr>
              <w:t>speed not recorded</w:t>
            </w:r>
          </w:p>
        </w:tc>
        <w:tc>
          <w:tcPr>
            <w:tcW w:type="dxa" w:w="3367"/>
          </w:tcPr>
          <w:p>
            <w:pPr>
              <w:spacing w:after="0"/>
              <w:jc w:val="left"/>
            </w:pPr>
            <w:r>
              <w:rPr>
                <w:sz w:val="16"/>
              </w:rPr>
              <w:t>damage not recorded (pre-1996 record)</w:t>
            </w:r>
          </w:p>
        </w:tc>
        <w:tc>
          <w:tcPr>
            <w:tcW w:type="dxa" w:w="1154"/>
          </w:tcPr>
          <w:p>
            <w:pPr>
              <w:spacing w:after="0"/>
              <w:jc w:val="right"/>
            </w:pPr>
            <w:r>
              <w:rPr>
                <w:sz w:val="16"/>
              </w:rPr>
              <w:t>1, 6</w:t>
            </w:r>
          </w:p>
        </w:tc>
        <w:tc>
          <w:tcPr>
            <w:tcW w:type="dxa" w:w="1924"/>
          </w:tcPr>
          <w:p>
            <w:pPr>
              <w:spacing w:after="0"/>
              <w:jc w:val="left"/>
            </w:pPr>
            <w:r>
              <w:rPr>
                <w:sz w:val="16"/>
              </w:rPr>
              <w:t>location not recorded</w:t>
            </w:r>
          </w:p>
        </w:tc>
        <w:tc>
          <w:tcPr>
            <w:tcW w:type="dxa" w:w="648"/>
          </w:tcPr>
          <w:p>
            <w:pPr>
              <w:spacing w:after="0"/>
              <w:jc w:val="left"/>
            </w:pPr>
          </w:p>
        </w:tc>
        <w:tc>
          <w:tcPr>
            <w:tcW w:type="dxa" w:w="1640"/>
          </w:tcPr>
          <w:p>
            <w:pPr>
              <w:spacing w:after="0"/>
              <w:jc w:val="left"/>
            </w:pPr>
            <w:r>
              <w:rPr>
                <w:sz w:val="16"/>
              </w:rPr>
              <w:t>deaths or injuries recorded</w:t>
            </w:r>
          </w:p>
        </w:tc>
      </w:tr>
      <w:tr>
        <w:trPr>
          <w:cantSplit/>
        </w:trPr>
        <w:tc>
          <w:tcPr>
            <w:tcW w:type="dxa" w:w="1037"/>
          </w:tcPr>
          <w:p>
            <w:pPr>
              <w:spacing w:after="0"/>
              <w:jc w:val="left"/>
            </w:pPr>
            <w:r>
              <w:rPr>
                <w:sz w:val="16"/>
              </w:rPr>
              <w:t>1979-04-11</w:t>
            </w:r>
          </w:p>
        </w:tc>
        <w:tc>
          <w:tcPr>
            <w:tcW w:type="dxa" w:w="1215"/>
          </w:tcPr>
          <w:p>
            <w:pPr>
              <w:spacing w:after="0"/>
              <w:jc w:val="left"/>
            </w:pPr>
            <w:r>
              <w:rPr>
                <w:sz w:val="16"/>
              </w:rPr>
              <w:t>Tornado</w:t>
            </w:r>
          </w:p>
        </w:tc>
        <w:tc>
          <w:tcPr>
            <w:tcW w:type="dxa" w:w="3127"/>
          </w:tcPr>
          <w:p>
            <w:pPr>
              <w:spacing w:after="0"/>
              <w:jc w:val="left"/>
            </w:pPr>
            <w:r>
              <w:rPr>
                <w:sz w:val="16"/>
              </w:rPr>
              <w:t>F2, 4.1 mi path length (records before 1996 may include the whole path; rating and listing come from the county where the tornado began), 33 yd wide</w:t>
            </w:r>
          </w:p>
        </w:tc>
        <w:tc>
          <w:tcPr>
            <w:tcW w:type="dxa" w:w="3367"/>
          </w:tcPr>
          <w:p>
            <w:pPr>
              <w:spacing w:after="0"/>
              <w:jc w:val="left"/>
            </w:pPr>
            <w:r>
              <w:rPr>
                <w:sz w:val="16"/>
              </w:rPr>
              <w:t>$25,000 property; crops not recorded (1979 dollars)</w:t>
            </w:r>
          </w:p>
        </w:tc>
        <w:tc>
          <w:tcPr>
            <w:tcW w:type="dxa" w:w="1154"/>
          </w:tcPr>
          <w:p>
            <w:pPr>
              <w:spacing w:after="0"/>
              <w:jc w:val="right"/>
            </w:pPr>
            <w:r>
              <w:rPr>
                <w:sz w:val="16"/>
              </w:rPr>
              <w:t>1, 2</w:t>
            </w:r>
          </w:p>
        </w:tc>
        <w:tc>
          <w:tcPr>
            <w:tcW w:type="dxa" w:w="1924"/>
          </w:tcPr>
          <w:p>
            <w:pPr>
              <w:spacing w:after="0"/>
              <w:jc w:val="left"/>
            </w:pPr>
            <w:r>
              <w:rPr>
                <w:sz w:val="16"/>
              </w:rPr>
              <w:t>location not recorded</w:t>
            </w:r>
          </w:p>
        </w:tc>
        <w:tc>
          <w:tcPr>
            <w:tcW w:type="dxa" w:w="648"/>
          </w:tcPr>
          <w:p>
            <w:pPr>
              <w:spacing w:after="0"/>
              <w:jc w:val="left"/>
            </w:pPr>
          </w:p>
        </w:tc>
        <w:tc>
          <w:tcPr>
            <w:tcW w:type="dxa" w:w="1640"/>
          </w:tcPr>
          <w:p>
            <w:pPr>
              <w:spacing w:after="0"/>
              <w:jc w:val="left"/>
            </w:pPr>
            <w:r>
              <w:rPr>
                <w:sz w:val="16"/>
              </w:rPr>
              <w:t>deaths or injuries recorded</w:t>
            </w:r>
          </w:p>
        </w:tc>
      </w:tr>
    </w:tbl>
    <w:p>
      <w:pPr>
        <w:spacing w:after="40" w:before="60"/>
      </w:pPr>
      <w:r>
        <w:rPr>
          <w:sz w:val="15"/>
        </w:rPr>
        <w:t>Storm Events records are more complete after 1996; before 1996 only Tornado (from 1950), Hail and Thunderstorm Wind (from 1955) exist. Zone-level records are placed with NWS zone-county files, which exist from 2020 on; an earlier record is placed by its zone number in the nearest later file only when its zone name matches that file, records from zones NWS renumbered are placed by name or left out, and a record whose zone is in no known file is left out of every count, so counts before 2020 can be low. Some current zones are also missing from the NWS files, so recent counts can be low too.</w:t>
      </w:r>
    </w:p>
    <w:p>
      <w:pPr>
        <w:spacing w:after="40" w:before="0"/>
      </w:pPr>
      <w:r>
        <w:rPr>
          <w:sz w:val="15"/>
        </w:rPr>
        <w:t>The full list is in the XLSX file, sheet "B1-d Storm Events history" (766 rows).</w:t>
      </w:r>
    </w:p>
    <w:p>
      <w:pPr>
        <w:spacing w:after="20" w:before="0"/>
      </w:pPr>
      <w:r>
        <w:rPr>
          <w:b/>
          <w:color w:val="555555"/>
          <w:sz w:val="15"/>
        </w:rPr>
        <w:t xml:space="preserve">Source: </w:t>
      </w:r>
      <w:r>
        <w:rPr>
          <w:color w:val="555555"/>
          <w:sz w:val="15"/>
        </w:rPr>
        <w:t xml:space="preserve">NOAA NCEI, NOAA NCEI Storm Events Database, details files (csvfiles v1.0), version c20260918, pulled 2026-09-28, </w:t>
      </w:r>
      <w:hyperlink r:id="rId15">
        <w:r>
          <w:rPr>
            <w:color w:val="1F4E99"/>
            <w:sz w:val="15"/>
            <w:u w:val="single"/>
          </w:rPr>
          <w:t>https://www.ncei.noaa.gov/pub/data/swdi/stormevents/csvfiles/</w:t>
        </w:r>
      </w:hyperlink>
    </w:p>
    <w:p>
      <w:pPr>
        <w:spacing w:after="20" w:before="0"/>
      </w:pPr>
      <w:r>
        <w:rPr>
          <w:b/>
          <w:color w:val="555555"/>
          <w:sz w:val="15"/>
        </w:rPr>
        <w:t xml:space="preserve">Source: </w:t>
      </w:r>
      <w:r>
        <w:rPr>
          <w:color w:val="555555"/>
          <w:sz w:val="15"/>
        </w:rPr>
        <w:t xml:space="preserve">NOAA National Weather Service, NWS county-public forecast zones correlation file, version bp03mr20 to bp16ap26 (11 files; newest bp16ap26), pulled 2026-09-28, </w:t>
      </w:r>
      <w:hyperlink r:id="rId17">
        <w:r>
          <w:rPr>
            <w:color w:val="1F4E99"/>
            <w:sz w:val="15"/>
            <w:u w:val="single"/>
          </w:rPr>
          <w:t>https://www.weather.gov/gis/ZoneCounty</w:t>
        </w:r>
      </w:hyperlink>
    </w:p>
    <w:p>
      <w:pPr>
        <w:spacing w:after="20" w:before="0"/>
      </w:pPr>
      <w:r>
        <w:rPr>
          <w:b/>
          <w:color w:val="555555"/>
          <w:sz w:val="15"/>
        </w:rPr>
        <w:t xml:space="preserve">Source: </w:t>
      </w:r>
      <w:r>
        <w:rPr>
          <w:color w:val="555555"/>
          <w:sz w:val="15"/>
        </w:rPr>
        <w:t xml:space="preserve">FEMA, </w:t>
      </w:r>
      <w:hyperlink r:id="rId11">
        <w:r>
          <w:rPr>
            <w:color w:val="1F4E99"/>
            <w:sz w:val="15"/>
            <w:u w:val="single"/>
          </w:rPr>
          <w:t>OpenFEMA HazardMitigationPlanStatuses v1</w:t>
        </w:r>
      </w:hyperlink>
      <w:r>
        <w:rPr>
          <w:color w:val="555555"/>
          <w:sz w:val="15"/>
        </w:rPr>
        <w:t xml:space="preserve">, version 2026-09-26T121003Z, pulled 2026-09-28, </w:t>
      </w:r>
      <w:hyperlink r:id="rId12">
        <w:r>
          <w:rPr>
            <w:color w:val="1F4E99"/>
            <w:sz w:val="15"/>
            <w:u w:val="single"/>
          </w:rPr>
          <w:t>https://www.fema.gov/api/open/v1/HazardMitigationPlanStatuses</w:t>
        </w:r>
      </w:hyperlink>
      <w:r>
        <w:rPr>
          <w:color w:val="555555"/>
          <w:sz w:val="15"/>
        </w:rPr>
        <w:t xml:space="preserve"> (API)</w:t>
      </w:r>
    </w:p>
    <w:p>
      <w:pPr>
        <w:spacing w:after="80" w:before="0"/>
      </w:pPr>
    </w:p>
    <w:p>
      <w:pPr>
        <w:spacing w:after="60" w:before="0"/>
      </w:pPr>
      <w:r>
        <w:rPr>
          <w:color w:val="555555"/>
          <w:sz w:val="17"/>
        </w:rPr>
        <w:t>State-declared emergencies are not in federal data. Add them from your state emergency management agency.</w:t>
      </w:r>
    </w:p>
    <w:p>
      <w:pPr>
        <w:spacing w:after="60" w:before="0"/>
      </w:pPr>
      <w:r>
        <w:rPr>
          <w:color w:val="555555"/>
          <w:sz w:val="17"/>
        </w:rPr>
        <w:t>Tribal and special-area declarations in this state are listed on the state page.</w:t>
      </w:r>
    </w:p>
    <w:p>
      <w:pPr>
        <w:pStyle w:val="Heading2"/>
        <w:keepNext/>
        <w:spacing w:after="80"/>
      </w:pPr>
      <w:r>
        <w:rPr/>
        <w:t>Supports B1-e: probability</w:t>
      </w:r>
    </w:p>
    <w:p>
      <w:pPr>
        <w:pStyle w:val="Heading3"/>
        <w:keepNext/>
        <w:spacing w:after="80"/>
      </w:pPr>
      <w:r>
        <w:rPr/>
        <w:t>Probability: FEMA annualized frequency and descriptor per hazard</w:t>
      </w:r>
    </w:p>
    <w:tbl>
      <w:tblPr>
        <w:tblW w:type="auto" w:w="0"/>
        <w:jc w:val="left"/>
        <w:tblBorders>
          <w:top w:val="single" w:sz="4" w:space="0" w:color="808080"/>
          <w:left w:val="single" w:sz="4" w:space="0" w:color="808080"/>
          <w:bottom w:val="single" w:sz="4" w:space="0" w:color="808080"/>
          <w:right w:val="single" w:sz="4" w:space="0" w:color="808080"/>
          <w:insideH w:val="single" w:sz="4" w:space="0" w:color="808080"/>
          <w:insideV w:val="single" w:sz="4" w:space="0" w:color="808080"/>
        </w:tblBorders>
        <w:tblLayout w:type="fixed"/>
        <w:tblCellMar>
          <w:top w:w="15" w:type="dxa"/>
          <w:left w:w="60" w:type="dxa"/>
          <w:bottom w:w="15" w:type="dxa"/>
          <w:right w:w="60" w:type="dxa"/>
        </w:tblCellMar>
        <w:tblLook w:firstColumn="1" w:firstRow="1" w:lastColumn="0" w:lastRow="0" w:noHBand="0" w:noVBand="1" w:val="04A0"/>
        <w:tblCaption w:val="Probability: FEMA annualized frequency and descriptor per hazard"/>
        <w:tblDescription w:val="Hazard Plain table b1e_modeled"/>
      </w:tblPr>
      <w:tblGrid>
        <w:gridCol w:w="1037"/>
        <w:gridCol w:w="1240"/>
        <w:gridCol w:w="1446"/>
        <w:gridCol w:w="1569"/>
        <w:gridCol w:w="1037"/>
        <w:gridCol w:w="1757"/>
        <w:gridCol w:w="1519"/>
        <w:gridCol w:w="1498"/>
        <w:gridCol w:w="1037"/>
        <w:gridCol w:w="1972"/>
      </w:tblGrid>
      <w:tr>
        <w:trPr>
          <w:cantSplit/>
          <w:tblHeader/>
        </w:trPr>
        <w:tc>
          <w:tcPr>
            <w:tcW w:type="dxa" w:w="1037"/>
            <w:shd w:val="clear" w:color="auto" w:fill="E8E8E8"/>
          </w:tcPr>
          <w:p>
            <w:pPr>
              <w:spacing w:after="0"/>
              <w:jc w:val="left"/>
            </w:pPr>
            <w:r>
              <w:rPr>
                <w:b/>
                <w:sz w:val="16"/>
              </w:rPr>
              <w:t>Hazard</w:t>
            </w:r>
          </w:p>
        </w:tc>
        <w:tc>
          <w:tcPr>
            <w:tcW w:type="dxa" w:w="1240"/>
            <w:shd w:val="clear" w:color="auto" w:fill="E8E8E8"/>
          </w:tcPr>
          <w:p>
            <w:pPr>
              <w:spacing w:after="0"/>
              <w:jc w:val="right"/>
            </w:pPr>
            <w:r>
              <w:rPr>
                <w:b/>
                <w:sz w:val="16"/>
              </w:rPr>
              <w:t>FEMA annualized frequency (modeled)</w:t>
            </w:r>
          </w:p>
          <w:p>
            <w:pPr>
              <w:spacing w:after="0"/>
              <w:jc w:val="right"/>
            </w:pPr>
            <w:r>
              <w:rPr>
                <w:i/>
                <w:color w:val="555555"/>
                <w:sz w:val="14"/>
              </w:rPr>
              <w:t>unit per row</w:t>
            </w:r>
          </w:p>
        </w:tc>
        <w:tc>
          <w:tcPr>
            <w:tcW w:type="dxa" w:w="1446"/>
            <w:shd w:val="clear" w:color="auto" w:fill="E8E8E8"/>
          </w:tcPr>
          <w:p>
            <w:pPr>
              <w:spacing w:after="0"/>
              <w:jc w:val="left"/>
            </w:pPr>
            <w:r>
              <w:rPr>
                <w:b/>
                <w:sz w:val="16"/>
              </w:rPr>
              <w:t>Unit</w:t>
            </w:r>
          </w:p>
        </w:tc>
        <w:tc>
          <w:tcPr>
            <w:tcW w:type="dxa" w:w="1569"/>
            <w:shd w:val="clear" w:color="auto" w:fill="E8E8E8"/>
          </w:tcPr>
          <w:p>
            <w:pPr>
              <w:spacing w:after="0"/>
              <w:jc w:val="left"/>
            </w:pPr>
            <w:r>
              <w:rPr>
                <w:b/>
                <w:sz w:val="16"/>
              </w:rPr>
              <w:t>In plain terms</w:t>
            </w:r>
          </w:p>
        </w:tc>
        <w:tc>
          <w:tcPr>
            <w:tcW w:type="dxa" w:w="1037"/>
            <w:shd w:val="clear" w:color="auto" w:fill="E8E8E8"/>
          </w:tcPr>
          <w:p>
            <w:pPr>
              <w:spacing w:after="0"/>
              <w:jc w:val="left"/>
            </w:pPr>
            <w:r>
              <w:rPr>
                <w:b/>
                <w:sz w:val="16"/>
              </w:rPr>
              <w:t>Descriptor</w:t>
            </w:r>
          </w:p>
        </w:tc>
        <w:tc>
          <w:tcPr>
            <w:tcW w:type="dxa" w:w="1757"/>
            <w:shd w:val="clear" w:color="auto" w:fill="E8E8E8"/>
          </w:tcPr>
          <w:p>
            <w:pPr>
              <w:spacing w:after="0"/>
              <w:jc w:val="left"/>
            </w:pPr>
            <w:r>
              <w:rPr>
                <w:b/>
                <w:sz w:val="16"/>
              </w:rPr>
              <w:t>Descriptor basis</w:t>
            </w:r>
          </w:p>
        </w:tc>
        <w:tc>
          <w:tcPr>
            <w:tcW w:type="dxa" w:w="1519"/>
            <w:shd w:val="clear" w:color="auto" w:fill="E8E8E8"/>
          </w:tcPr>
          <w:p>
            <w:pPr>
              <w:spacing w:after="0"/>
              <w:jc w:val="right"/>
            </w:pPr>
            <w:r>
              <w:rPr>
                <w:b/>
                <w:sz w:val="16"/>
              </w:rPr>
              <w:t>NRI events or days in its record period (hail, wind and tornado are area-weighted, so can be fractional)</w:t>
            </w:r>
          </w:p>
        </w:tc>
        <w:tc>
          <w:tcPr>
            <w:tcW w:type="dxa" w:w="1498"/>
            <w:shd w:val="clear" w:color="auto" w:fill="E8E8E8"/>
          </w:tcPr>
          <w:p>
            <w:pPr>
              <w:spacing w:after="0"/>
              <w:jc w:val="left"/>
            </w:pPr>
            <w:r>
              <w:rPr>
                <w:b/>
                <w:sz w:val="16"/>
              </w:rPr>
              <w:t>NRI period</w:t>
            </w:r>
          </w:p>
        </w:tc>
        <w:tc>
          <w:tcPr>
            <w:tcW w:type="dxa" w:w="1037"/>
            <w:shd w:val="clear" w:color="auto" w:fill="E8E8E8"/>
          </w:tcPr>
          <w:p>
            <w:pPr>
              <w:spacing w:after="0"/>
              <w:jc w:val="left"/>
            </w:pPr>
            <w:r>
              <w:rPr>
                <w:b/>
                <w:sz w:val="16"/>
              </w:rPr>
              <w:t>Location</w:t>
            </w:r>
          </w:p>
        </w:tc>
        <w:tc>
          <w:tcPr>
            <w:tcW w:type="dxa" w:w="1972"/>
            <w:shd w:val="clear" w:color="auto" w:fill="E8E8E8"/>
          </w:tcPr>
          <w:p>
            <w:pPr>
              <w:spacing w:after="0"/>
              <w:jc w:val="left"/>
            </w:pPr>
            <w:r>
              <w:rPr>
                <w:b/>
                <w:sz w:val="16"/>
              </w:rPr>
              <w:t>Note</w:t>
            </w:r>
          </w:p>
        </w:tc>
      </w:tr>
      <w:tr>
        <w:trPr>
          <w:cantSplit/>
        </w:trPr>
        <w:tc>
          <w:tcPr>
            <w:tcW w:type="dxa" w:w="1037"/>
          </w:tcPr>
          <w:p>
            <w:pPr>
              <w:spacing w:after="0"/>
              <w:jc w:val="left"/>
            </w:pPr>
            <w:r>
              <w:rPr>
                <w:sz w:val="16"/>
              </w:rPr>
              <w:t>Avalanche</w:t>
            </w:r>
          </w:p>
        </w:tc>
        <w:tc>
          <w:tcPr>
            <w:tcW w:type="dxa" w:w="1240"/>
          </w:tcPr>
          <w:p>
            <w:pPr>
              <w:spacing w:after="0"/>
              <w:jc w:val="right"/>
            </w:pPr>
          </w:p>
        </w:tc>
        <w:tc>
          <w:tcPr>
            <w:tcW w:type="dxa" w:w="1446"/>
          </w:tcPr>
          <w:p>
            <w:pPr>
              <w:spacing w:after="0"/>
              <w:jc w:val="left"/>
            </w:pPr>
            <w:r>
              <w:rPr>
                <w:sz w:val="16"/>
              </w:rPr>
              <w:t>events per year</w:t>
            </w:r>
          </w:p>
        </w:tc>
        <w:tc>
          <w:tcPr>
            <w:tcW w:type="dxa" w:w="1569"/>
          </w:tcPr>
          <w:p>
            <w:pPr>
              <w:spacing w:after="0"/>
              <w:jc w:val="left"/>
            </w:pPr>
          </w:p>
        </w:tc>
        <w:tc>
          <w:tcPr>
            <w:tcW w:type="dxa" w:w="1037"/>
          </w:tcPr>
          <w:p>
            <w:pPr>
              <w:spacing w:after="0"/>
              <w:jc w:val="left"/>
            </w:pPr>
          </w:p>
        </w:tc>
        <w:tc>
          <w:tcPr>
            <w:tcW w:type="dxa" w:w="1757"/>
          </w:tcPr>
          <w:p>
            <w:pPr>
              <w:spacing w:after="0"/>
              <w:jc w:val="left"/>
            </w:pPr>
          </w:p>
        </w:tc>
        <w:tc>
          <w:tcPr>
            <w:tcW w:type="dxa" w:w="1519"/>
          </w:tcPr>
          <w:p>
            <w:pPr>
              <w:spacing w:after="0"/>
              <w:jc w:val="right"/>
            </w:pPr>
          </w:p>
        </w:tc>
        <w:tc>
          <w:tcPr>
            <w:tcW w:type="dxa" w:w="1498"/>
          </w:tcPr>
          <w:p>
            <w:pPr>
              <w:spacing w:after="0"/>
              <w:jc w:val="left"/>
            </w:pPr>
            <w:r>
              <w:rPr>
                <w:sz w:val="16"/>
              </w:rPr>
              <w:t>1994 to 2023 (30 years)</w:t>
            </w:r>
          </w:p>
        </w:tc>
        <w:tc>
          <w:tcPr>
            <w:tcW w:type="dxa" w:w="1037"/>
          </w:tcPr>
          <w:p>
            <w:pPr>
              <w:spacing w:after="0"/>
              <w:jc w:val="left"/>
            </w:pPr>
            <w:r>
              <w:rPr>
                <w:sz w:val="16"/>
              </w:rPr>
              <w:t>see B1-f</w:t>
            </w:r>
          </w:p>
        </w:tc>
        <w:tc>
          <w:tcPr>
            <w:tcW w:type="dxa" w:w="1972"/>
          </w:tcPr>
          <w:p>
            <w:pPr>
              <w:spacing w:after="0"/>
              <w:jc w:val="left"/>
            </w:pPr>
            <w:r>
              <w:rPr>
                <w:sz w:val="16"/>
              </w:rPr>
              <w:t>Not Applicable in NRI for this county; no descriptor.</w:t>
            </w:r>
          </w:p>
        </w:tc>
      </w:tr>
      <w:tr>
        <w:trPr>
          <w:cantSplit/>
        </w:trPr>
        <w:tc>
          <w:tcPr>
            <w:tcW w:type="dxa" w:w="1037"/>
          </w:tcPr>
          <w:p>
            <w:pPr>
              <w:spacing w:after="0"/>
              <w:jc w:val="left"/>
            </w:pPr>
            <w:r>
              <w:rPr>
                <w:sz w:val="16"/>
              </w:rPr>
              <w:t>Coastal Flooding</w:t>
            </w:r>
          </w:p>
        </w:tc>
        <w:tc>
          <w:tcPr>
            <w:tcW w:type="dxa" w:w="1240"/>
          </w:tcPr>
          <w:p>
            <w:pPr>
              <w:spacing w:after="0"/>
              <w:jc w:val="right"/>
            </w:pPr>
          </w:p>
        </w:tc>
        <w:tc>
          <w:tcPr>
            <w:tcW w:type="dxa" w:w="1446"/>
          </w:tcPr>
          <w:p>
            <w:pPr>
              <w:spacing w:after="0"/>
              <w:jc w:val="left"/>
            </w:pPr>
            <w:r>
              <w:rPr>
                <w:sz w:val="16"/>
              </w:rPr>
              <w:t>events per year at a location (modeled)</w:t>
            </w:r>
          </w:p>
        </w:tc>
        <w:tc>
          <w:tcPr>
            <w:tcW w:type="dxa" w:w="1569"/>
          </w:tcPr>
          <w:p>
            <w:pPr>
              <w:spacing w:after="0"/>
              <w:jc w:val="left"/>
            </w:pPr>
          </w:p>
        </w:tc>
        <w:tc>
          <w:tcPr>
            <w:tcW w:type="dxa" w:w="1037"/>
          </w:tcPr>
          <w:p>
            <w:pPr>
              <w:spacing w:after="0"/>
              <w:jc w:val="left"/>
            </w:pPr>
          </w:p>
        </w:tc>
        <w:tc>
          <w:tcPr>
            <w:tcW w:type="dxa" w:w="1757"/>
          </w:tcPr>
          <w:p>
            <w:pPr>
              <w:spacing w:after="0"/>
              <w:jc w:val="left"/>
            </w:pPr>
          </w:p>
        </w:tc>
        <w:tc>
          <w:tcPr>
            <w:tcW w:type="dxa" w:w="1519"/>
          </w:tcPr>
          <w:p>
            <w:pPr>
              <w:spacing w:after="0"/>
              <w:jc w:val="right"/>
            </w:pPr>
            <w:r>
              <w:rPr>
                <w:sz w:val="16"/>
              </w:rPr>
              <w:t>not shown</w:t>
            </w:r>
          </w:p>
        </w:tc>
        <w:tc>
          <w:tcPr>
            <w:tcW w:type="dxa" w:w="1498"/>
          </w:tcPr>
          <w:p>
            <w:pPr>
              <w:spacing w:after="0"/>
              <w:jc w:val="left"/>
            </w:pPr>
            <w:r>
              <w:rPr>
                <w:sz w:val="16"/>
              </w:rPr>
              <w:t>modeled</w:t>
            </w:r>
          </w:p>
        </w:tc>
        <w:tc>
          <w:tcPr>
            <w:tcW w:type="dxa" w:w="1037"/>
          </w:tcPr>
          <w:p>
            <w:pPr>
              <w:spacing w:after="0"/>
              <w:jc w:val="left"/>
            </w:pPr>
            <w:r>
              <w:rPr>
                <w:sz w:val="16"/>
              </w:rPr>
              <w:t>see B1-f</w:t>
            </w:r>
          </w:p>
        </w:tc>
        <w:tc>
          <w:tcPr>
            <w:tcW w:type="dxa" w:w="1972"/>
          </w:tcPr>
          <w:p>
            <w:pPr>
              <w:spacing w:after="0"/>
              <w:jc w:val="left"/>
            </w:pPr>
            <w:r>
              <w:rPr>
                <w:sz w:val="16"/>
              </w:rPr>
              <w:t>Not Applicable in NRI for this county; no descriptor.</w:t>
            </w:r>
          </w:p>
        </w:tc>
      </w:tr>
      <w:tr>
        <w:trPr>
          <w:cantSplit/>
        </w:trPr>
        <w:tc>
          <w:tcPr>
            <w:tcW w:type="dxa" w:w="1037"/>
          </w:tcPr>
          <w:p>
            <w:pPr>
              <w:spacing w:after="0"/>
              <w:jc w:val="left"/>
            </w:pPr>
            <w:r>
              <w:rPr>
                <w:sz w:val="16"/>
              </w:rPr>
              <w:t>Cold Wave</w:t>
            </w:r>
          </w:p>
        </w:tc>
        <w:tc>
          <w:tcPr>
            <w:tcW w:type="dxa" w:w="1240"/>
          </w:tcPr>
          <w:p>
            <w:pPr>
              <w:spacing w:after="0"/>
              <w:jc w:val="right"/>
            </w:pPr>
            <w:r>
              <w:rPr>
                <w:sz w:val="16"/>
              </w:rPr>
              <w:t>1.05</w:t>
            </w:r>
          </w:p>
        </w:tc>
        <w:tc>
          <w:tcPr>
            <w:tcW w:type="dxa" w:w="1446"/>
          </w:tcPr>
          <w:p>
            <w:pPr>
              <w:spacing w:after="0"/>
              <w:jc w:val="left"/>
            </w:pPr>
            <w:r>
              <w:rPr>
                <w:sz w:val="16"/>
              </w:rPr>
              <w:t>event-days per year</w:t>
            </w:r>
          </w:p>
        </w:tc>
        <w:tc>
          <w:tcPr>
            <w:tcW w:type="dxa" w:w="1569"/>
          </w:tcPr>
          <w:p>
            <w:pPr>
              <w:spacing w:after="0"/>
              <w:jc w:val="left"/>
            </w:pPr>
            <w:r>
              <w:rPr>
                <w:sz w:val="16"/>
              </w:rPr>
              <w:t>about 1.05 days per year</w:t>
            </w:r>
          </w:p>
        </w:tc>
        <w:tc>
          <w:tcPr>
            <w:tcW w:type="dxa" w:w="1037"/>
          </w:tcPr>
          <w:p>
            <w:pPr>
              <w:spacing w:after="0"/>
              <w:jc w:val="left"/>
            </w:pPr>
            <w:r>
              <w:rPr>
                <w:sz w:val="16"/>
              </w:rPr>
              <w:t>Likely</w:t>
            </w:r>
          </w:p>
        </w:tc>
        <w:tc>
          <w:tcPr>
            <w:tcW w:type="dxa" w:w="1757"/>
          </w:tcPr>
          <w:p>
            <w:pPr>
              <w:spacing w:after="0"/>
              <w:jc w:val="left"/>
            </w:pPr>
            <w:r>
              <w:rPr>
                <w:sz w:val="16"/>
              </w:rPr>
              <w:t>event-days in 14 of 30 years, 1996 to 2025 (46.7%)</w:t>
            </w:r>
          </w:p>
        </w:tc>
        <w:tc>
          <w:tcPr>
            <w:tcW w:type="dxa" w:w="1519"/>
          </w:tcPr>
          <w:p>
            <w:pPr>
              <w:spacing w:after="0"/>
              <w:jc w:val="right"/>
            </w:pPr>
            <w:r>
              <w:rPr>
                <w:sz w:val="16"/>
              </w:rPr>
              <w:t>20</w:t>
            </w:r>
          </w:p>
        </w:tc>
        <w:tc>
          <w:tcPr>
            <w:tcW w:type="dxa" w:w="1498"/>
          </w:tcPr>
          <w:p>
            <w:pPr>
              <w:spacing w:after="0"/>
              <w:jc w:val="left"/>
            </w:pPr>
            <w:r>
              <w:rPr>
                <w:sz w:val="16"/>
              </w:rPr>
              <w:t>2005-11-12 to 2024-11-12 (19 years)</w:t>
            </w:r>
          </w:p>
        </w:tc>
        <w:tc>
          <w:tcPr>
            <w:tcW w:type="dxa" w:w="1037"/>
          </w:tcPr>
          <w:p>
            <w:pPr>
              <w:spacing w:after="0"/>
              <w:jc w:val="left"/>
            </w:pPr>
            <w:r>
              <w:rPr>
                <w:sz w:val="16"/>
              </w:rPr>
              <w:t>countywide</w:t>
            </w:r>
          </w:p>
        </w:tc>
        <w:tc>
          <w:tcPr>
            <w:tcW w:type="dxa" w:w="1972"/>
          </w:tcPr>
          <w:p>
            <w:pPr>
              <w:spacing w:after="0"/>
              <w:jc w:val="left"/>
            </w:pPr>
            <w:r>
              <w:rPr>
                <w:sz w:val="16"/>
              </w:rPr>
              <w:t>NRI gives about 1.05 cold wave event-days a year here (its annualized frequency over 19 years; not its event count divided by the years), but Storm Events has a record in only 14 of 30 years. NRI counts from a different source that records far more events than Storm Events, so this descriptor reads much lower than NRI's frequency; read the two together. Frost/Freeze records are not counted in this descriptor: they record crop freezes, not cold waves.</w:t>
            </w:r>
          </w:p>
        </w:tc>
      </w:tr>
      <w:tr>
        <w:trPr>
          <w:cantSplit/>
        </w:trPr>
        <w:tc>
          <w:tcPr>
            <w:tcW w:type="dxa" w:w="1037"/>
          </w:tcPr>
          <w:p>
            <w:pPr>
              <w:spacing w:after="0"/>
              <w:jc w:val="left"/>
            </w:pPr>
            <w:r>
              <w:rPr>
                <w:sz w:val="16"/>
              </w:rPr>
              <w:t>Drought</w:t>
            </w:r>
          </w:p>
        </w:tc>
        <w:tc>
          <w:tcPr>
            <w:tcW w:type="dxa" w:w="1240"/>
          </w:tcPr>
          <w:p>
            <w:pPr>
              <w:spacing w:after="0"/>
              <w:jc w:val="right"/>
            </w:pPr>
            <w:r>
              <w:rPr>
                <w:sz w:val="16"/>
              </w:rPr>
              <w:t>5.84</w:t>
            </w:r>
          </w:p>
        </w:tc>
        <w:tc>
          <w:tcPr>
            <w:tcW w:type="dxa" w:w="1446"/>
          </w:tcPr>
          <w:p>
            <w:pPr>
              <w:spacing w:after="0"/>
              <w:jc w:val="left"/>
            </w:pPr>
            <w:r>
              <w:rPr>
                <w:sz w:val="16"/>
              </w:rPr>
              <w:t>event-days per year</w:t>
            </w:r>
          </w:p>
        </w:tc>
        <w:tc>
          <w:tcPr>
            <w:tcW w:type="dxa" w:w="1569"/>
          </w:tcPr>
          <w:p>
            <w:pPr>
              <w:spacing w:after="0"/>
              <w:jc w:val="left"/>
            </w:pPr>
            <w:r>
              <w:rPr>
                <w:sz w:val="16"/>
              </w:rPr>
              <w:t>about 5.84 days per year</w:t>
            </w:r>
          </w:p>
        </w:tc>
        <w:tc>
          <w:tcPr>
            <w:tcW w:type="dxa" w:w="1037"/>
          </w:tcPr>
          <w:p>
            <w:pPr>
              <w:spacing w:after="0"/>
              <w:jc w:val="left"/>
            </w:pPr>
            <w:r>
              <w:rPr>
                <w:sz w:val="16"/>
              </w:rPr>
              <w:t>Likely</w:t>
            </w:r>
          </w:p>
        </w:tc>
        <w:tc>
          <w:tcPr>
            <w:tcW w:type="dxa" w:w="1757"/>
          </w:tcPr>
          <w:p>
            <w:pPr>
              <w:spacing w:after="0"/>
              <w:jc w:val="left"/>
            </w:pPr>
            <w:r>
              <w:rPr>
                <w:sz w:val="16"/>
              </w:rPr>
              <w:t>event-days in 8 of 30 years, 1996 to 2025 (26.7%)</w:t>
            </w:r>
          </w:p>
        </w:tc>
        <w:tc>
          <w:tcPr>
            <w:tcW w:type="dxa" w:w="1519"/>
          </w:tcPr>
          <w:p>
            <w:pPr>
              <w:spacing w:after="0"/>
              <w:jc w:val="right"/>
            </w:pPr>
            <w:r>
              <w:rPr>
                <w:sz w:val="16"/>
              </w:rPr>
              <w:t>161</w:t>
            </w:r>
          </w:p>
        </w:tc>
        <w:tc>
          <w:tcPr>
            <w:tcW w:type="dxa" w:w="1498"/>
          </w:tcPr>
          <w:p>
            <w:pPr>
              <w:spacing w:after="0"/>
              <w:jc w:val="left"/>
            </w:pPr>
            <w:r>
              <w:rPr>
                <w:sz w:val="16"/>
              </w:rPr>
              <w:t>2000 to 2025 (25.25 years; D3 and D4 only)</w:t>
            </w:r>
          </w:p>
        </w:tc>
        <w:tc>
          <w:tcPr>
            <w:tcW w:type="dxa" w:w="1037"/>
          </w:tcPr>
          <w:p>
            <w:pPr>
              <w:spacing w:after="0"/>
              <w:jc w:val="left"/>
            </w:pPr>
            <w:r>
              <w:rPr>
                <w:sz w:val="16"/>
              </w:rPr>
              <w:t>countywide</w:t>
            </w:r>
          </w:p>
        </w:tc>
        <w:tc>
          <w:tcPr>
            <w:tcW w:type="dxa" w:w="1972"/>
          </w:tcPr>
          <w:p>
            <w:pPr>
              <w:spacing w:after="0"/>
              <w:jc w:val="left"/>
            </w:pPr>
            <w:r>
              <w:rPr>
                <w:sz w:val="16"/>
              </w:rPr>
              <w:t>NRI gives about 5.84 drought event-days a year here (its annualized frequency over 25.25 years; not its event count divided by the years), but Storm Events has a record in only 8 of 30 years. NRI counts from a different source that records far more events than Storm Events, so this descriptor reads much lower than NRI's frequency; read the two together.</w:t>
            </w:r>
          </w:p>
        </w:tc>
      </w:tr>
      <w:tr>
        <w:trPr>
          <w:cantSplit/>
        </w:trPr>
        <w:tc>
          <w:tcPr>
            <w:tcW w:type="dxa" w:w="1037"/>
          </w:tcPr>
          <w:p>
            <w:pPr>
              <w:spacing w:after="0"/>
              <w:jc w:val="left"/>
            </w:pPr>
            <w:r>
              <w:rPr>
                <w:sz w:val="16"/>
              </w:rPr>
              <w:t>Earthquake</w:t>
            </w:r>
          </w:p>
        </w:tc>
        <w:tc>
          <w:tcPr>
            <w:tcW w:type="dxa" w:w="1240"/>
          </w:tcPr>
          <w:p>
            <w:pPr>
              <w:spacing w:after="0"/>
              <w:jc w:val="right"/>
            </w:pPr>
            <w:r>
              <w:rPr>
                <w:sz w:val="16"/>
              </w:rPr>
              <w:t>0.00566</w:t>
            </w:r>
          </w:p>
        </w:tc>
        <w:tc>
          <w:tcPr>
            <w:tcW w:type="dxa" w:w="1446"/>
          </w:tcPr>
          <w:p>
            <w:pPr>
              <w:spacing w:after="0"/>
              <w:jc w:val="left"/>
            </w:pPr>
            <w:r>
              <w:rPr>
                <w:sz w:val="16"/>
              </w:rPr>
              <w:t>annual probability at a location</w:t>
            </w:r>
          </w:p>
        </w:tc>
        <w:tc>
          <w:tcPr>
            <w:tcW w:type="dxa" w:w="1569"/>
          </w:tcPr>
          <w:p>
            <w:pPr>
              <w:spacing w:after="0"/>
              <w:jc w:val="left"/>
            </w:pPr>
            <w:r>
              <w:rPr>
                <w:sz w:val="16"/>
              </w:rPr>
              <w:t>chance a given location in the county has at least minor-damage shaking in a year: 0.566%</w:t>
            </w:r>
          </w:p>
        </w:tc>
        <w:tc>
          <w:tcPr>
            <w:tcW w:type="dxa" w:w="1037"/>
          </w:tcPr>
          <w:p>
            <w:pPr>
              <w:spacing w:after="0"/>
              <w:jc w:val="left"/>
            </w:pPr>
          </w:p>
        </w:tc>
        <w:tc>
          <w:tcPr>
            <w:tcW w:type="dxa" w:w="1757"/>
          </w:tcPr>
          <w:p>
            <w:pPr>
              <w:spacing w:after="0"/>
              <w:jc w:val="left"/>
            </w:pPr>
          </w:p>
        </w:tc>
        <w:tc>
          <w:tcPr>
            <w:tcW w:type="dxa" w:w="1519"/>
          </w:tcPr>
          <w:p>
            <w:pPr>
              <w:spacing w:after="0"/>
              <w:jc w:val="right"/>
            </w:pPr>
            <w:r>
              <w:rPr>
                <w:sz w:val="16"/>
              </w:rPr>
              <w:t>not shown</w:t>
            </w:r>
          </w:p>
        </w:tc>
        <w:tc>
          <w:tcPr>
            <w:tcW w:type="dxa" w:w="1498"/>
          </w:tcPr>
          <w:p>
            <w:pPr>
              <w:spacing w:after="0"/>
              <w:jc w:val="left"/>
            </w:pPr>
            <w:r>
              <w:rPr>
                <w:sz w:val="16"/>
              </w:rPr>
              <w:t>modeled</w:t>
            </w:r>
          </w:p>
        </w:tc>
        <w:tc>
          <w:tcPr>
            <w:tcW w:type="dxa" w:w="1037"/>
          </w:tcPr>
          <w:p>
            <w:pPr>
              <w:spacing w:after="0"/>
              <w:jc w:val="left"/>
            </w:pPr>
            <w:r>
              <w:rPr>
                <w:sz w:val="16"/>
              </w:rPr>
              <w:t>see B1-f</w:t>
            </w:r>
          </w:p>
        </w:tc>
        <w:tc>
          <w:tcPr>
            <w:tcW w:type="dxa" w:w="1972"/>
          </w:tcPr>
          <w:p>
            <w:pPr>
              <w:spacing w:after="0"/>
              <w:jc w:val="left"/>
            </w:pPr>
            <w:r>
              <w:rPr>
                <w:sz w:val="16"/>
              </w:rPr>
              <w:t>Descriptor not assigned: the NRI value is the chance at a location in the county, not how often the hazard affects the county, and Storm Events does not record earthquakes.</w:t>
            </w:r>
          </w:p>
        </w:tc>
      </w:tr>
      <w:tr>
        <w:trPr>
          <w:cantSplit/>
        </w:trPr>
        <w:tc>
          <w:tcPr>
            <w:tcW w:type="dxa" w:w="1037"/>
          </w:tcPr>
          <w:p>
            <w:pPr>
              <w:spacing w:after="0"/>
              <w:jc w:val="left"/>
            </w:pPr>
            <w:r>
              <w:rPr>
                <w:sz w:val="16"/>
              </w:rPr>
              <w:t>Hail</w:t>
            </w:r>
          </w:p>
        </w:tc>
        <w:tc>
          <w:tcPr>
            <w:tcW w:type="dxa" w:w="1240"/>
          </w:tcPr>
          <w:p>
            <w:pPr>
              <w:spacing w:after="0"/>
              <w:jc w:val="right"/>
            </w:pPr>
            <w:r>
              <w:rPr>
                <w:sz w:val="16"/>
              </w:rPr>
              <w:t>3.03</w:t>
            </w:r>
          </w:p>
        </w:tc>
        <w:tc>
          <w:tcPr>
            <w:tcW w:type="dxa" w:w="1446"/>
          </w:tcPr>
          <w:p>
            <w:pPr>
              <w:spacing w:after="0"/>
              <w:jc w:val="left"/>
            </w:pPr>
            <w:r>
              <w:rPr>
                <w:sz w:val="16"/>
              </w:rPr>
              <w:t>events per year</w:t>
            </w:r>
          </w:p>
        </w:tc>
        <w:tc>
          <w:tcPr>
            <w:tcW w:type="dxa" w:w="1569"/>
          </w:tcPr>
          <w:p>
            <w:pPr>
              <w:spacing w:after="0"/>
              <w:jc w:val="left"/>
            </w:pPr>
            <w:r>
              <w:rPr>
                <w:sz w:val="16"/>
              </w:rPr>
              <w:t>about 3.03 per year</w:t>
            </w:r>
          </w:p>
        </w:tc>
        <w:tc>
          <w:tcPr>
            <w:tcW w:type="dxa" w:w="1037"/>
          </w:tcPr>
          <w:p>
            <w:pPr>
              <w:spacing w:after="0"/>
              <w:jc w:val="left"/>
            </w:pPr>
            <w:r>
              <w:rPr>
                <w:sz w:val="16"/>
              </w:rPr>
              <w:t>Highly likely</w:t>
            </w:r>
          </w:p>
        </w:tc>
        <w:tc>
          <w:tcPr>
            <w:tcW w:type="dxa" w:w="1757"/>
          </w:tcPr>
          <w:p>
            <w:pPr>
              <w:spacing w:after="0"/>
              <w:jc w:val="left"/>
            </w:pPr>
            <w:r>
              <w:rPr>
                <w:sz w:val="16"/>
              </w:rPr>
              <w:t>FEMA annualized frequency (modeled)</w:t>
            </w:r>
          </w:p>
        </w:tc>
        <w:tc>
          <w:tcPr>
            <w:tcW w:type="dxa" w:w="1519"/>
          </w:tcPr>
          <w:p>
            <w:pPr>
              <w:spacing w:after="0"/>
              <w:jc w:val="right"/>
            </w:pPr>
            <w:r>
              <w:rPr>
                <w:sz w:val="16"/>
              </w:rPr>
              <w:t>115.2 (modeled)</w:t>
            </w:r>
          </w:p>
        </w:tc>
        <w:tc>
          <w:tcPr>
            <w:tcW w:type="dxa" w:w="1498"/>
          </w:tcPr>
          <w:p>
            <w:pPr>
              <w:spacing w:after="0"/>
              <w:jc w:val="left"/>
            </w:pPr>
            <w:r>
              <w:rPr>
                <w:sz w:val="16"/>
              </w:rPr>
              <w:t>1986 to 2023 (38 years)</w:t>
            </w:r>
          </w:p>
        </w:tc>
        <w:tc>
          <w:tcPr>
            <w:tcW w:type="dxa" w:w="1037"/>
          </w:tcPr>
          <w:p>
            <w:pPr>
              <w:spacing w:after="0"/>
              <w:jc w:val="left"/>
            </w:pPr>
            <w:r>
              <w:rPr>
                <w:sz w:val="16"/>
              </w:rPr>
              <w:t>countywide</w:t>
            </w:r>
          </w:p>
        </w:tc>
        <w:tc>
          <w:tcPr>
            <w:tcW w:type="dxa" w:w="1972"/>
          </w:tcPr>
          <w:p>
            <w:pPr>
              <w:spacing w:after="0"/>
              <w:jc w:val="left"/>
            </w:pPr>
          </w:p>
        </w:tc>
      </w:tr>
      <w:tr>
        <w:trPr>
          <w:cantSplit/>
        </w:trPr>
        <w:tc>
          <w:tcPr>
            <w:tcW w:type="dxa" w:w="1037"/>
          </w:tcPr>
          <w:p>
            <w:pPr>
              <w:spacing w:after="0"/>
              <w:jc w:val="left"/>
            </w:pPr>
            <w:r>
              <w:rPr>
                <w:sz w:val="16"/>
              </w:rPr>
              <w:t>Heat Wave</w:t>
            </w:r>
          </w:p>
        </w:tc>
        <w:tc>
          <w:tcPr>
            <w:tcW w:type="dxa" w:w="1240"/>
          </w:tcPr>
          <w:p>
            <w:pPr>
              <w:spacing w:after="0"/>
              <w:jc w:val="right"/>
            </w:pPr>
            <w:r>
              <w:rPr>
                <w:sz w:val="16"/>
              </w:rPr>
              <w:t>8.16</w:t>
            </w:r>
          </w:p>
        </w:tc>
        <w:tc>
          <w:tcPr>
            <w:tcW w:type="dxa" w:w="1446"/>
          </w:tcPr>
          <w:p>
            <w:pPr>
              <w:spacing w:after="0"/>
              <w:jc w:val="left"/>
            </w:pPr>
            <w:r>
              <w:rPr>
                <w:sz w:val="16"/>
              </w:rPr>
              <w:t>event-days per year</w:t>
            </w:r>
          </w:p>
        </w:tc>
        <w:tc>
          <w:tcPr>
            <w:tcW w:type="dxa" w:w="1569"/>
          </w:tcPr>
          <w:p>
            <w:pPr>
              <w:spacing w:after="0"/>
              <w:jc w:val="left"/>
            </w:pPr>
            <w:r>
              <w:rPr>
                <w:sz w:val="16"/>
              </w:rPr>
              <w:t>about 8.16 days per year</w:t>
            </w:r>
          </w:p>
        </w:tc>
        <w:tc>
          <w:tcPr>
            <w:tcW w:type="dxa" w:w="1037"/>
          </w:tcPr>
          <w:p>
            <w:pPr>
              <w:spacing w:after="0"/>
              <w:jc w:val="left"/>
            </w:pPr>
            <w:r>
              <w:rPr>
                <w:sz w:val="16"/>
              </w:rPr>
              <w:t>Likely</w:t>
            </w:r>
          </w:p>
        </w:tc>
        <w:tc>
          <w:tcPr>
            <w:tcW w:type="dxa" w:w="1757"/>
          </w:tcPr>
          <w:p>
            <w:pPr>
              <w:spacing w:after="0"/>
              <w:jc w:val="left"/>
            </w:pPr>
            <w:r>
              <w:rPr>
                <w:sz w:val="16"/>
              </w:rPr>
              <w:t>event-days in 24 of 30 years, 1996 to 2025 (80%)</w:t>
            </w:r>
          </w:p>
        </w:tc>
        <w:tc>
          <w:tcPr>
            <w:tcW w:type="dxa" w:w="1519"/>
          </w:tcPr>
          <w:p>
            <w:pPr>
              <w:spacing w:after="0"/>
              <w:jc w:val="right"/>
            </w:pPr>
            <w:r>
              <w:rPr>
                <w:sz w:val="16"/>
              </w:rPr>
              <w:t>113</w:t>
            </w:r>
          </w:p>
        </w:tc>
        <w:tc>
          <w:tcPr>
            <w:tcW w:type="dxa" w:w="1498"/>
          </w:tcPr>
          <w:p>
            <w:pPr>
              <w:spacing w:after="0"/>
              <w:jc w:val="left"/>
            </w:pPr>
            <w:r>
              <w:rPr>
                <w:sz w:val="16"/>
              </w:rPr>
              <w:t>2005-11-12 to 2024-11-12 (19 years)</w:t>
            </w:r>
          </w:p>
        </w:tc>
        <w:tc>
          <w:tcPr>
            <w:tcW w:type="dxa" w:w="1037"/>
          </w:tcPr>
          <w:p>
            <w:pPr>
              <w:spacing w:after="0"/>
              <w:jc w:val="left"/>
            </w:pPr>
            <w:r>
              <w:rPr>
                <w:sz w:val="16"/>
              </w:rPr>
              <w:t>countywide</w:t>
            </w:r>
          </w:p>
        </w:tc>
        <w:tc>
          <w:tcPr>
            <w:tcW w:type="dxa" w:w="1972"/>
          </w:tcPr>
          <w:p>
            <w:pPr>
              <w:spacing w:after="0"/>
              <w:jc w:val="left"/>
            </w:pPr>
          </w:p>
        </w:tc>
      </w:tr>
      <w:tr>
        <w:trPr>
          <w:cantSplit/>
        </w:trPr>
        <w:tc>
          <w:tcPr>
            <w:tcW w:type="dxa" w:w="1037"/>
          </w:tcPr>
          <w:p>
            <w:pPr>
              <w:spacing w:after="0"/>
              <w:jc w:val="left"/>
            </w:pPr>
            <w:r>
              <w:rPr>
                <w:sz w:val="16"/>
              </w:rPr>
              <w:t>Hurricane</w:t>
            </w:r>
          </w:p>
        </w:tc>
        <w:tc>
          <w:tcPr>
            <w:tcW w:type="dxa" w:w="1240"/>
          </w:tcPr>
          <w:p>
            <w:pPr>
              <w:spacing w:after="0"/>
              <w:jc w:val="right"/>
            </w:pPr>
            <w:r>
              <w:rPr>
                <w:sz w:val="16"/>
              </w:rPr>
              <w:t>0.00739</w:t>
            </w:r>
          </w:p>
        </w:tc>
        <w:tc>
          <w:tcPr>
            <w:tcW w:type="dxa" w:w="1446"/>
          </w:tcPr>
          <w:p>
            <w:pPr>
              <w:spacing w:after="0"/>
              <w:jc w:val="left"/>
            </w:pPr>
            <w:r>
              <w:rPr>
                <w:sz w:val="16"/>
              </w:rPr>
              <w:t>events per year</w:t>
            </w:r>
          </w:p>
        </w:tc>
        <w:tc>
          <w:tcPr>
            <w:tcW w:type="dxa" w:w="1569"/>
          </w:tcPr>
          <w:p>
            <w:pPr>
              <w:spacing w:after="0"/>
              <w:jc w:val="left"/>
            </w:pPr>
            <w:r>
              <w:rPr>
                <w:sz w:val="16"/>
              </w:rPr>
              <w:t>about 1 in 135 years</w:t>
            </w:r>
          </w:p>
        </w:tc>
        <w:tc>
          <w:tcPr>
            <w:tcW w:type="dxa" w:w="1037"/>
          </w:tcPr>
          <w:p>
            <w:pPr>
              <w:spacing w:after="0"/>
              <w:jc w:val="left"/>
            </w:pPr>
            <w:r>
              <w:rPr>
                <w:sz w:val="16"/>
              </w:rPr>
              <w:t>Unlikely</w:t>
            </w:r>
          </w:p>
        </w:tc>
        <w:tc>
          <w:tcPr>
            <w:tcW w:type="dxa" w:w="1757"/>
          </w:tcPr>
          <w:p>
            <w:pPr>
              <w:spacing w:after="0"/>
              <w:jc w:val="left"/>
            </w:pPr>
            <w:r>
              <w:rPr>
                <w:sz w:val="16"/>
              </w:rPr>
              <w:t>FEMA annualized frequency (modeled)</w:t>
            </w:r>
          </w:p>
        </w:tc>
        <w:tc>
          <w:tcPr>
            <w:tcW w:type="dxa" w:w="1519"/>
          </w:tcPr>
          <w:p>
            <w:pPr>
              <w:spacing w:after="0"/>
              <w:jc w:val="right"/>
            </w:pPr>
            <w:r>
              <w:rPr>
                <w:sz w:val="16"/>
              </w:rPr>
              <w:t>1</w:t>
            </w:r>
          </w:p>
        </w:tc>
        <w:tc>
          <w:tcPr>
            <w:tcW w:type="dxa" w:w="1498"/>
          </w:tcPr>
          <w:p>
            <w:pPr>
              <w:spacing w:after="0"/>
              <w:jc w:val="left"/>
            </w:pPr>
            <w:r>
              <w:rPr>
                <w:sz w:val="16"/>
              </w:rPr>
              <w:t>1851 to 2024 (Atlantic)</w:t>
            </w:r>
          </w:p>
        </w:tc>
        <w:tc>
          <w:tcPr>
            <w:tcW w:type="dxa" w:w="1037"/>
          </w:tcPr>
          <w:p>
            <w:pPr>
              <w:spacing w:after="0"/>
              <w:jc w:val="left"/>
            </w:pPr>
            <w:r>
              <w:rPr>
                <w:sz w:val="16"/>
              </w:rPr>
              <w:t>see B1-f</w:t>
            </w:r>
          </w:p>
        </w:tc>
        <w:tc>
          <w:tcPr>
            <w:tcW w:type="dxa" w:w="1972"/>
          </w:tcPr>
          <w:p>
            <w:pPr>
              <w:spacing w:after="0"/>
              <w:jc w:val="left"/>
            </w:pPr>
            <w:r>
              <w:rPr>
                <w:sz w:val="16"/>
              </w:rPr>
              <w:t>NRI counts hurricane and tropical storm tracks passing within storm-force wind range; federal declarations are counted separately in B1-d and need not match.</w:t>
            </w:r>
          </w:p>
        </w:tc>
      </w:tr>
      <w:tr>
        <w:trPr>
          <w:cantSplit/>
        </w:trPr>
        <w:tc>
          <w:tcPr>
            <w:tcW w:type="dxa" w:w="1037"/>
          </w:tcPr>
          <w:p>
            <w:pPr>
              <w:spacing w:after="0"/>
              <w:jc w:val="left"/>
            </w:pPr>
            <w:r>
              <w:rPr>
                <w:sz w:val="16"/>
              </w:rPr>
              <w:t>Ice Storm</w:t>
            </w:r>
          </w:p>
        </w:tc>
        <w:tc>
          <w:tcPr>
            <w:tcW w:type="dxa" w:w="1240"/>
          </w:tcPr>
          <w:p>
            <w:pPr>
              <w:spacing w:after="0"/>
              <w:jc w:val="right"/>
            </w:pPr>
            <w:r>
              <w:rPr>
                <w:sz w:val="16"/>
              </w:rPr>
              <w:t>1.03</w:t>
            </w:r>
          </w:p>
        </w:tc>
        <w:tc>
          <w:tcPr>
            <w:tcW w:type="dxa" w:w="1446"/>
          </w:tcPr>
          <w:p>
            <w:pPr>
              <w:spacing w:after="0"/>
              <w:jc w:val="left"/>
            </w:pPr>
            <w:r>
              <w:rPr>
                <w:sz w:val="16"/>
              </w:rPr>
              <w:t>event-days per year</w:t>
            </w:r>
          </w:p>
        </w:tc>
        <w:tc>
          <w:tcPr>
            <w:tcW w:type="dxa" w:w="1569"/>
          </w:tcPr>
          <w:p>
            <w:pPr>
              <w:spacing w:after="0"/>
              <w:jc w:val="left"/>
            </w:pPr>
            <w:r>
              <w:rPr>
                <w:sz w:val="16"/>
              </w:rPr>
              <w:t>about 1.03 days per year</w:t>
            </w:r>
          </w:p>
        </w:tc>
        <w:tc>
          <w:tcPr>
            <w:tcW w:type="dxa" w:w="1037"/>
          </w:tcPr>
          <w:p>
            <w:pPr>
              <w:spacing w:after="0"/>
              <w:jc w:val="left"/>
            </w:pPr>
            <w:r>
              <w:rPr>
                <w:sz w:val="16"/>
              </w:rPr>
              <w:t>Likely</w:t>
            </w:r>
          </w:p>
        </w:tc>
        <w:tc>
          <w:tcPr>
            <w:tcW w:type="dxa" w:w="1757"/>
          </w:tcPr>
          <w:p>
            <w:pPr>
              <w:spacing w:after="0"/>
              <w:jc w:val="left"/>
            </w:pPr>
            <w:r>
              <w:rPr>
                <w:sz w:val="16"/>
              </w:rPr>
              <w:t>event-days in 4 of 30 years, 1996 to 2025 (13.3%)</w:t>
            </w:r>
          </w:p>
        </w:tc>
        <w:tc>
          <w:tcPr>
            <w:tcW w:type="dxa" w:w="1519"/>
          </w:tcPr>
          <w:p>
            <w:pPr>
              <w:spacing w:after="0"/>
              <w:jc w:val="right"/>
            </w:pPr>
            <w:r>
              <w:rPr>
                <w:sz w:val="16"/>
              </w:rPr>
              <w:t>70</w:t>
            </w:r>
          </w:p>
        </w:tc>
        <w:tc>
          <w:tcPr>
            <w:tcW w:type="dxa" w:w="1498"/>
          </w:tcPr>
          <w:p>
            <w:pPr>
              <w:spacing w:after="0"/>
              <w:jc w:val="left"/>
            </w:pPr>
            <w:r>
              <w:rPr>
                <w:sz w:val="16"/>
              </w:rPr>
              <w:t>1946-12-31 to 2014-02-12 (67 years)</w:t>
            </w:r>
          </w:p>
        </w:tc>
        <w:tc>
          <w:tcPr>
            <w:tcW w:type="dxa" w:w="1037"/>
          </w:tcPr>
          <w:p>
            <w:pPr>
              <w:spacing w:after="0"/>
              <w:jc w:val="left"/>
            </w:pPr>
            <w:r>
              <w:rPr>
                <w:sz w:val="16"/>
              </w:rPr>
              <w:t>countywide</w:t>
            </w:r>
          </w:p>
        </w:tc>
        <w:tc>
          <w:tcPr>
            <w:tcW w:type="dxa" w:w="1972"/>
          </w:tcPr>
          <w:p>
            <w:pPr>
              <w:spacing w:after="0"/>
              <w:jc w:val="left"/>
            </w:pPr>
            <w:r>
              <w:rPr>
                <w:sz w:val="16"/>
              </w:rPr>
              <w:t>NRI gives about 1.03 ice storm event-days a year here (its annualized frequency over 67 years; not its event count divided by the years), but Storm Events has a record in only 4 of 30 years. NRI counts from a different source that records far more events than Storm Events, so this descriptor reads much lower than NRI's frequency; read the two together.</w:t>
            </w:r>
          </w:p>
        </w:tc>
      </w:tr>
      <w:tr>
        <w:trPr>
          <w:cantSplit/>
        </w:trPr>
        <w:tc>
          <w:tcPr>
            <w:tcW w:type="dxa" w:w="1037"/>
          </w:tcPr>
          <w:p>
            <w:pPr>
              <w:spacing w:after="0"/>
              <w:jc w:val="left"/>
            </w:pPr>
            <w:r>
              <w:rPr>
                <w:sz w:val="16"/>
              </w:rPr>
              <w:t>Inland Flooding</w:t>
            </w:r>
          </w:p>
        </w:tc>
        <w:tc>
          <w:tcPr>
            <w:tcW w:type="dxa" w:w="1240"/>
          </w:tcPr>
          <w:p>
            <w:pPr>
              <w:spacing w:after="0"/>
              <w:jc w:val="right"/>
            </w:pPr>
            <w:r>
              <w:rPr>
                <w:sz w:val="16"/>
              </w:rPr>
              <w:t>5.21</w:t>
            </w:r>
          </w:p>
        </w:tc>
        <w:tc>
          <w:tcPr>
            <w:tcW w:type="dxa" w:w="1446"/>
          </w:tcPr>
          <w:p>
            <w:pPr>
              <w:spacing w:after="0"/>
              <w:jc w:val="left"/>
            </w:pPr>
            <w:r>
              <w:rPr>
                <w:sz w:val="16"/>
              </w:rPr>
              <w:t>event-days per year</w:t>
            </w:r>
          </w:p>
        </w:tc>
        <w:tc>
          <w:tcPr>
            <w:tcW w:type="dxa" w:w="1569"/>
          </w:tcPr>
          <w:p>
            <w:pPr>
              <w:spacing w:after="0"/>
              <w:jc w:val="left"/>
            </w:pPr>
            <w:r>
              <w:rPr>
                <w:sz w:val="16"/>
              </w:rPr>
              <w:t>about 5.21 days per year</w:t>
            </w:r>
          </w:p>
        </w:tc>
        <w:tc>
          <w:tcPr>
            <w:tcW w:type="dxa" w:w="1037"/>
          </w:tcPr>
          <w:p>
            <w:pPr>
              <w:spacing w:after="0"/>
              <w:jc w:val="left"/>
            </w:pPr>
            <w:r>
              <w:rPr>
                <w:sz w:val="16"/>
              </w:rPr>
              <w:t>Highly likely</w:t>
            </w:r>
          </w:p>
        </w:tc>
        <w:tc>
          <w:tcPr>
            <w:tcW w:type="dxa" w:w="1757"/>
          </w:tcPr>
          <w:p>
            <w:pPr>
              <w:spacing w:after="0"/>
              <w:jc w:val="left"/>
            </w:pPr>
            <w:r>
              <w:rPr>
                <w:sz w:val="16"/>
              </w:rPr>
              <w:t>event-days in 30 of 30 years, 1996 to 2025 (100%)</w:t>
            </w:r>
          </w:p>
        </w:tc>
        <w:tc>
          <w:tcPr>
            <w:tcW w:type="dxa" w:w="1519"/>
          </w:tcPr>
          <w:p>
            <w:pPr>
              <w:spacing w:after="0"/>
              <w:jc w:val="right"/>
            </w:pPr>
            <w:r>
              <w:rPr>
                <w:sz w:val="16"/>
              </w:rPr>
              <w:t>146</w:t>
            </w:r>
          </w:p>
        </w:tc>
        <w:tc>
          <w:tcPr>
            <w:tcW w:type="dxa" w:w="1498"/>
          </w:tcPr>
          <w:p>
            <w:pPr>
              <w:spacing w:after="0"/>
              <w:jc w:val="left"/>
            </w:pPr>
            <w:r>
              <w:rPr>
                <w:sz w:val="16"/>
              </w:rPr>
              <w:t>1996 to 2023 (28 years)</w:t>
            </w:r>
          </w:p>
        </w:tc>
        <w:tc>
          <w:tcPr>
            <w:tcW w:type="dxa" w:w="1037"/>
          </w:tcPr>
          <w:p>
            <w:pPr>
              <w:spacing w:after="0"/>
              <w:jc w:val="left"/>
            </w:pPr>
            <w:r>
              <w:rPr>
                <w:sz w:val="16"/>
              </w:rPr>
              <w:t>see B1-f</w:t>
            </w:r>
          </w:p>
        </w:tc>
        <w:tc>
          <w:tcPr>
            <w:tcW w:type="dxa" w:w="1972"/>
          </w:tcPr>
          <w:p>
            <w:pPr>
              <w:spacing w:after="0"/>
              <w:jc w:val="left"/>
            </w:pPr>
          </w:p>
        </w:tc>
      </w:tr>
      <w:tr>
        <w:trPr>
          <w:cantSplit/>
        </w:trPr>
        <w:tc>
          <w:tcPr>
            <w:tcW w:type="dxa" w:w="1037"/>
          </w:tcPr>
          <w:p>
            <w:pPr>
              <w:spacing w:after="0"/>
              <w:jc w:val="left"/>
            </w:pPr>
            <w:r>
              <w:rPr>
                <w:sz w:val="16"/>
              </w:rPr>
              <w:t>Landslide</w:t>
            </w:r>
          </w:p>
        </w:tc>
        <w:tc>
          <w:tcPr>
            <w:tcW w:type="dxa" w:w="1240"/>
          </w:tcPr>
          <w:p>
            <w:pPr>
              <w:spacing w:after="0"/>
              <w:jc w:val="right"/>
            </w:pPr>
            <w:r>
              <w:rPr>
                <w:sz w:val="16"/>
              </w:rPr>
              <w:t>0.385</w:t>
            </w:r>
          </w:p>
        </w:tc>
        <w:tc>
          <w:tcPr>
            <w:tcW w:type="dxa" w:w="1446"/>
          </w:tcPr>
          <w:p>
            <w:pPr>
              <w:spacing w:after="0"/>
              <w:jc w:val="left"/>
            </w:pPr>
            <w:r>
              <w:rPr>
                <w:sz w:val="16"/>
              </w:rPr>
              <w:t>events per year (modeled)</w:t>
            </w:r>
          </w:p>
        </w:tc>
        <w:tc>
          <w:tcPr>
            <w:tcW w:type="dxa" w:w="1569"/>
          </w:tcPr>
          <w:p>
            <w:pPr>
              <w:spacing w:after="0"/>
              <w:jc w:val="left"/>
            </w:pPr>
            <w:r>
              <w:rPr>
                <w:sz w:val="16"/>
              </w:rPr>
              <w:t>about 1 in 3 years</w:t>
            </w:r>
          </w:p>
        </w:tc>
        <w:tc>
          <w:tcPr>
            <w:tcW w:type="dxa" w:w="1037"/>
          </w:tcPr>
          <w:p>
            <w:pPr>
              <w:spacing w:after="0"/>
              <w:jc w:val="left"/>
            </w:pPr>
            <w:r>
              <w:rPr>
                <w:sz w:val="16"/>
              </w:rPr>
              <w:t>Likely</w:t>
            </w:r>
          </w:p>
        </w:tc>
        <w:tc>
          <w:tcPr>
            <w:tcW w:type="dxa" w:w="1757"/>
          </w:tcPr>
          <w:p>
            <w:pPr>
              <w:spacing w:after="0"/>
              <w:jc w:val="left"/>
            </w:pPr>
            <w:r>
              <w:rPr>
                <w:sz w:val="16"/>
              </w:rPr>
              <w:t>FEMA annualized frequency (modeled)</w:t>
            </w:r>
          </w:p>
        </w:tc>
        <w:tc>
          <w:tcPr>
            <w:tcW w:type="dxa" w:w="1519"/>
          </w:tcPr>
          <w:p>
            <w:pPr>
              <w:spacing w:after="0"/>
              <w:jc w:val="right"/>
            </w:pPr>
            <w:r>
              <w:rPr>
                <w:sz w:val="16"/>
              </w:rPr>
              <w:t>not shown</w:t>
            </w:r>
          </w:p>
        </w:tc>
        <w:tc>
          <w:tcPr>
            <w:tcW w:type="dxa" w:w="1498"/>
          </w:tcPr>
          <w:p>
            <w:pPr>
              <w:spacing w:after="0"/>
              <w:jc w:val="left"/>
            </w:pPr>
            <w:r>
              <w:rPr>
                <w:sz w:val="16"/>
              </w:rPr>
              <w:t>modeled</w:t>
            </w:r>
          </w:p>
        </w:tc>
        <w:tc>
          <w:tcPr>
            <w:tcW w:type="dxa" w:w="1037"/>
          </w:tcPr>
          <w:p>
            <w:pPr>
              <w:spacing w:after="0"/>
              <w:jc w:val="left"/>
            </w:pPr>
            <w:r>
              <w:rPr>
                <w:sz w:val="16"/>
              </w:rPr>
              <w:t>see B1-f</w:t>
            </w:r>
          </w:p>
        </w:tc>
        <w:tc>
          <w:tcPr>
            <w:tcW w:type="dxa" w:w="1972"/>
          </w:tcPr>
          <w:p>
            <w:pPr>
              <w:spacing w:after="0"/>
              <w:jc w:val="left"/>
            </w:pPr>
          </w:p>
        </w:tc>
      </w:tr>
      <w:tr>
        <w:trPr>
          <w:cantSplit/>
        </w:trPr>
        <w:tc>
          <w:tcPr>
            <w:tcW w:type="dxa" w:w="1037"/>
          </w:tcPr>
          <w:p>
            <w:pPr>
              <w:spacing w:after="0"/>
              <w:jc w:val="left"/>
            </w:pPr>
            <w:r>
              <w:rPr>
                <w:sz w:val="16"/>
              </w:rPr>
              <w:t>Lightning</w:t>
            </w:r>
          </w:p>
        </w:tc>
        <w:tc>
          <w:tcPr>
            <w:tcW w:type="dxa" w:w="1240"/>
          </w:tcPr>
          <w:p>
            <w:pPr>
              <w:spacing w:after="0"/>
              <w:jc w:val="right"/>
            </w:pPr>
            <w:r>
              <w:rPr>
                <w:sz w:val="16"/>
              </w:rPr>
              <w:t>51.8</w:t>
            </w:r>
          </w:p>
        </w:tc>
        <w:tc>
          <w:tcPr>
            <w:tcW w:type="dxa" w:w="1446"/>
          </w:tcPr>
          <w:p>
            <w:pPr>
              <w:spacing w:after="0"/>
              <w:jc w:val="left"/>
            </w:pPr>
            <w:r>
              <w:rPr>
                <w:sz w:val="16"/>
              </w:rPr>
              <w:t>days per year with a strike</w:t>
            </w:r>
          </w:p>
        </w:tc>
        <w:tc>
          <w:tcPr>
            <w:tcW w:type="dxa" w:w="1569"/>
          </w:tcPr>
          <w:p>
            <w:pPr>
              <w:spacing w:after="0"/>
              <w:jc w:val="left"/>
            </w:pPr>
            <w:r>
              <w:rPr>
                <w:sz w:val="16"/>
              </w:rPr>
              <w:t>about 51.8 days per year</w:t>
            </w:r>
          </w:p>
        </w:tc>
        <w:tc>
          <w:tcPr>
            <w:tcW w:type="dxa" w:w="1037"/>
          </w:tcPr>
          <w:p>
            <w:pPr>
              <w:spacing w:after="0"/>
              <w:jc w:val="left"/>
            </w:pPr>
            <w:r>
              <w:rPr>
                <w:sz w:val="16"/>
              </w:rPr>
              <w:t>Highly likely</w:t>
            </w:r>
          </w:p>
        </w:tc>
        <w:tc>
          <w:tcPr>
            <w:tcW w:type="dxa" w:w="1757"/>
          </w:tcPr>
          <w:p>
            <w:pPr>
              <w:spacing w:after="0"/>
              <w:jc w:val="left"/>
            </w:pPr>
            <w:r>
              <w:rPr>
                <w:sz w:val="16"/>
              </w:rPr>
              <w:t>FEMA annualized frequency (modeled)</w:t>
            </w:r>
          </w:p>
        </w:tc>
        <w:tc>
          <w:tcPr>
            <w:tcW w:type="dxa" w:w="1519"/>
          </w:tcPr>
          <w:p>
            <w:pPr>
              <w:spacing w:after="0"/>
              <w:jc w:val="right"/>
            </w:pPr>
            <w:r>
              <w:rPr>
                <w:sz w:val="16"/>
              </w:rPr>
              <w:t>not shown</w:t>
            </w:r>
          </w:p>
        </w:tc>
        <w:tc>
          <w:tcPr>
            <w:tcW w:type="dxa" w:w="1498"/>
          </w:tcPr>
          <w:p>
            <w:pPr>
              <w:spacing w:after="0"/>
              <w:jc w:val="left"/>
            </w:pPr>
            <w:r>
              <w:rPr>
                <w:sz w:val="16"/>
              </w:rPr>
              <w:t>1995 to 2023 (29 years; CONUS)</w:t>
            </w:r>
          </w:p>
        </w:tc>
        <w:tc>
          <w:tcPr>
            <w:tcW w:type="dxa" w:w="1037"/>
          </w:tcPr>
          <w:p>
            <w:pPr>
              <w:spacing w:after="0"/>
              <w:jc w:val="left"/>
            </w:pPr>
            <w:r>
              <w:rPr>
                <w:sz w:val="16"/>
              </w:rPr>
              <w:t>countywide</w:t>
            </w:r>
          </w:p>
        </w:tc>
        <w:tc>
          <w:tcPr>
            <w:tcW w:type="dxa" w:w="1972"/>
          </w:tcPr>
          <w:p>
            <w:pPr>
              <w:spacing w:after="0"/>
              <w:jc w:val="left"/>
            </w:pPr>
          </w:p>
        </w:tc>
      </w:tr>
      <w:tr>
        <w:trPr>
          <w:cantSplit/>
        </w:trPr>
        <w:tc>
          <w:tcPr>
            <w:tcW w:type="dxa" w:w="1037"/>
          </w:tcPr>
          <w:p>
            <w:pPr>
              <w:spacing w:after="0"/>
              <w:jc w:val="left"/>
            </w:pPr>
            <w:r>
              <w:rPr>
                <w:sz w:val="16"/>
              </w:rPr>
              <w:t>Strong Wind</w:t>
            </w:r>
          </w:p>
        </w:tc>
        <w:tc>
          <w:tcPr>
            <w:tcW w:type="dxa" w:w="1240"/>
          </w:tcPr>
          <w:p>
            <w:pPr>
              <w:spacing w:after="0"/>
              <w:jc w:val="right"/>
            </w:pPr>
            <w:r>
              <w:rPr>
                <w:sz w:val="16"/>
              </w:rPr>
              <w:t>4.46</w:t>
            </w:r>
          </w:p>
        </w:tc>
        <w:tc>
          <w:tcPr>
            <w:tcW w:type="dxa" w:w="1446"/>
          </w:tcPr>
          <w:p>
            <w:pPr>
              <w:spacing w:after="0"/>
              <w:jc w:val="left"/>
            </w:pPr>
            <w:r>
              <w:rPr>
                <w:sz w:val="16"/>
              </w:rPr>
              <w:t>events per year</w:t>
            </w:r>
          </w:p>
        </w:tc>
        <w:tc>
          <w:tcPr>
            <w:tcW w:type="dxa" w:w="1569"/>
          </w:tcPr>
          <w:p>
            <w:pPr>
              <w:spacing w:after="0"/>
              <w:jc w:val="left"/>
            </w:pPr>
            <w:r>
              <w:rPr>
                <w:sz w:val="16"/>
              </w:rPr>
              <w:t>about 4.46 per year</w:t>
            </w:r>
          </w:p>
        </w:tc>
        <w:tc>
          <w:tcPr>
            <w:tcW w:type="dxa" w:w="1037"/>
          </w:tcPr>
          <w:p>
            <w:pPr>
              <w:spacing w:after="0"/>
              <w:jc w:val="left"/>
            </w:pPr>
            <w:r>
              <w:rPr>
                <w:sz w:val="16"/>
              </w:rPr>
              <w:t>Highly likely</w:t>
            </w:r>
          </w:p>
        </w:tc>
        <w:tc>
          <w:tcPr>
            <w:tcW w:type="dxa" w:w="1757"/>
          </w:tcPr>
          <w:p>
            <w:pPr>
              <w:spacing w:after="0"/>
              <w:jc w:val="left"/>
            </w:pPr>
            <w:r>
              <w:rPr>
                <w:sz w:val="16"/>
              </w:rPr>
              <w:t>FEMA annualized frequency (modeled)</w:t>
            </w:r>
          </w:p>
        </w:tc>
        <w:tc>
          <w:tcPr>
            <w:tcW w:type="dxa" w:w="1519"/>
          </w:tcPr>
          <w:p>
            <w:pPr>
              <w:spacing w:after="0"/>
              <w:jc w:val="right"/>
            </w:pPr>
            <w:r>
              <w:rPr>
                <w:sz w:val="16"/>
              </w:rPr>
              <w:t>170</w:t>
            </w:r>
          </w:p>
        </w:tc>
        <w:tc>
          <w:tcPr>
            <w:tcW w:type="dxa" w:w="1498"/>
          </w:tcPr>
          <w:p>
            <w:pPr>
              <w:spacing w:after="0"/>
              <w:jc w:val="left"/>
            </w:pPr>
            <w:r>
              <w:rPr>
                <w:sz w:val="16"/>
              </w:rPr>
              <w:t>1986 to 2023 (38 years)</w:t>
            </w:r>
          </w:p>
        </w:tc>
        <w:tc>
          <w:tcPr>
            <w:tcW w:type="dxa" w:w="1037"/>
          </w:tcPr>
          <w:p>
            <w:pPr>
              <w:spacing w:after="0"/>
              <w:jc w:val="left"/>
            </w:pPr>
            <w:r>
              <w:rPr>
                <w:sz w:val="16"/>
              </w:rPr>
              <w:t>countywide</w:t>
            </w:r>
          </w:p>
        </w:tc>
        <w:tc>
          <w:tcPr>
            <w:tcW w:type="dxa" w:w="1972"/>
          </w:tcPr>
          <w:p>
            <w:pPr>
              <w:spacing w:after="0"/>
              <w:jc w:val="left"/>
            </w:pPr>
          </w:p>
        </w:tc>
      </w:tr>
      <w:tr>
        <w:trPr>
          <w:cantSplit/>
        </w:trPr>
        <w:tc>
          <w:tcPr>
            <w:tcW w:type="dxa" w:w="1037"/>
          </w:tcPr>
          <w:p>
            <w:pPr>
              <w:spacing w:after="0"/>
              <w:jc w:val="left"/>
            </w:pPr>
            <w:r>
              <w:rPr>
                <w:sz w:val="16"/>
              </w:rPr>
              <w:t>Tornado</w:t>
            </w:r>
          </w:p>
        </w:tc>
        <w:tc>
          <w:tcPr>
            <w:tcW w:type="dxa" w:w="1240"/>
          </w:tcPr>
          <w:p>
            <w:pPr>
              <w:spacing w:after="0"/>
              <w:jc w:val="right"/>
            </w:pPr>
            <w:r>
              <w:rPr>
                <w:sz w:val="16"/>
              </w:rPr>
              <w:t>0.271</w:t>
            </w:r>
          </w:p>
        </w:tc>
        <w:tc>
          <w:tcPr>
            <w:tcW w:type="dxa" w:w="1446"/>
          </w:tcPr>
          <w:p>
            <w:pPr>
              <w:spacing w:after="0"/>
              <w:jc w:val="left"/>
            </w:pPr>
            <w:r>
              <w:rPr>
                <w:sz w:val="16"/>
              </w:rPr>
              <w:t>events per year</w:t>
            </w:r>
          </w:p>
        </w:tc>
        <w:tc>
          <w:tcPr>
            <w:tcW w:type="dxa" w:w="1569"/>
          </w:tcPr>
          <w:p>
            <w:pPr>
              <w:spacing w:after="0"/>
              <w:jc w:val="left"/>
            </w:pPr>
            <w:r>
              <w:rPr>
                <w:sz w:val="16"/>
              </w:rPr>
              <w:t>about 1 in 4 years</w:t>
            </w:r>
          </w:p>
        </w:tc>
        <w:tc>
          <w:tcPr>
            <w:tcW w:type="dxa" w:w="1037"/>
          </w:tcPr>
          <w:p>
            <w:pPr>
              <w:spacing w:after="0"/>
              <w:jc w:val="left"/>
            </w:pPr>
            <w:r>
              <w:rPr>
                <w:sz w:val="16"/>
              </w:rPr>
              <w:t>Likely</w:t>
            </w:r>
          </w:p>
        </w:tc>
        <w:tc>
          <w:tcPr>
            <w:tcW w:type="dxa" w:w="1757"/>
          </w:tcPr>
          <w:p>
            <w:pPr>
              <w:spacing w:after="0"/>
              <w:jc w:val="left"/>
            </w:pPr>
            <w:r>
              <w:rPr>
                <w:sz w:val="16"/>
              </w:rPr>
              <w:t>FEMA annualized frequency (modeled)</w:t>
            </w:r>
          </w:p>
        </w:tc>
        <w:tc>
          <w:tcPr>
            <w:tcW w:type="dxa" w:w="1519"/>
          </w:tcPr>
          <w:p>
            <w:pPr>
              <w:spacing w:after="0"/>
              <w:jc w:val="right"/>
            </w:pPr>
            <w:r>
              <w:rPr>
                <w:sz w:val="16"/>
              </w:rPr>
              <w:t>not shown</w:t>
            </w:r>
          </w:p>
        </w:tc>
        <w:tc>
          <w:tcPr>
            <w:tcW w:type="dxa" w:w="1498"/>
          </w:tcPr>
          <w:p>
            <w:pPr>
              <w:spacing w:after="0"/>
              <w:jc w:val="left"/>
            </w:pPr>
            <w:r>
              <w:rPr>
                <w:sz w:val="16"/>
              </w:rPr>
              <w:t>1950 to 2023 (EF2+); 1986 to 2023 (EF0-1)</w:t>
            </w:r>
          </w:p>
        </w:tc>
        <w:tc>
          <w:tcPr>
            <w:tcW w:type="dxa" w:w="1037"/>
          </w:tcPr>
          <w:p>
            <w:pPr>
              <w:spacing w:after="0"/>
              <w:jc w:val="left"/>
            </w:pPr>
            <w:r>
              <w:rPr>
                <w:sz w:val="16"/>
              </w:rPr>
              <w:t>see B1-f</w:t>
            </w:r>
          </w:p>
        </w:tc>
        <w:tc>
          <w:tcPr>
            <w:tcW w:type="dxa" w:w="1972"/>
          </w:tcPr>
          <w:p>
            <w:pPr>
              <w:spacing w:after="0"/>
              <w:jc w:val="left"/>
            </w:pPr>
          </w:p>
        </w:tc>
      </w:tr>
      <w:tr>
        <w:trPr>
          <w:cantSplit/>
        </w:trPr>
        <w:tc>
          <w:tcPr>
            <w:tcW w:type="dxa" w:w="1037"/>
          </w:tcPr>
          <w:p>
            <w:pPr>
              <w:spacing w:after="0"/>
              <w:jc w:val="left"/>
            </w:pPr>
            <w:r>
              <w:rPr>
                <w:sz w:val="16"/>
              </w:rPr>
              <w:t>Tsunami</w:t>
            </w:r>
          </w:p>
        </w:tc>
        <w:tc>
          <w:tcPr>
            <w:tcW w:type="dxa" w:w="1240"/>
          </w:tcPr>
          <w:p>
            <w:pPr>
              <w:spacing w:after="0"/>
              <w:jc w:val="right"/>
            </w:pPr>
          </w:p>
        </w:tc>
        <w:tc>
          <w:tcPr>
            <w:tcW w:type="dxa" w:w="1446"/>
          </w:tcPr>
          <w:p>
            <w:pPr>
              <w:spacing w:after="0"/>
              <w:jc w:val="left"/>
            </w:pPr>
            <w:r>
              <w:rPr>
                <w:sz w:val="16"/>
              </w:rPr>
              <w:t>annual probability at the most exposed location (used in place of a county value)</w:t>
            </w:r>
          </w:p>
        </w:tc>
        <w:tc>
          <w:tcPr>
            <w:tcW w:type="dxa" w:w="1569"/>
          </w:tcPr>
          <w:p>
            <w:pPr>
              <w:spacing w:after="0"/>
              <w:jc w:val="left"/>
            </w:pPr>
          </w:p>
        </w:tc>
        <w:tc>
          <w:tcPr>
            <w:tcW w:type="dxa" w:w="1037"/>
          </w:tcPr>
          <w:p>
            <w:pPr>
              <w:spacing w:after="0"/>
              <w:jc w:val="left"/>
            </w:pPr>
          </w:p>
        </w:tc>
        <w:tc>
          <w:tcPr>
            <w:tcW w:type="dxa" w:w="1757"/>
          </w:tcPr>
          <w:p>
            <w:pPr>
              <w:spacing w:after="0"/>
              <w:jc w:val="left"/>
            </w:pPr>
          </w:p>
        </w:tc>
        <w:tc>
          <w:tcPr>
            <w:tcW w:type="dxa" w:w="1519"/>
          </w:tcPr>
          <w:p>
            <w:pPr>
              <w:spacing w:after="0"/>
              <w:jc w:val="right"/>
            </w:pPr>
            <w:r>
              <w:rPr>
                <w:sz w:val="16"/>
              </w:rPr>
              <w:t>not shown</w:t>
            </w:r>
          </w:p>
        </w:tc>
        <w:tc>
          <w:tcPr>
            <w:tcW w:type="dxa" w:w="1498"/>
          </w:tcPr>
          <w:p>
            <w:pPr>
              <w:spacing w:after="0"/>
              <w:jc w:val="left"/>
            </w:pPr>
            <w:r>
              <w:rPr>
                <w:sz w:val="16"/>
              </w:rPr>
              <w:t>modeled</w:t>
            </w:r>
          </w:p>
        </w:tc>
        <w:tc>
          <w:tcPr>
            <w:tcW w:type="dxa" w:w="1037"/>
          </w:tcPr>
          <w:p>
            <w:pPr>
              <w:spacing w:after="0"/>
              <w:jc w:val="left"/>
            </w:pPr>
            <w:r>
              <w:rPr>
                <w:sz w:val="16"/>
              </w:rPr>
              <w:t>see B1-f</w:t>
            </w:r>
          </w:p>
        </w:tc>
        <w:tc>
          <w:tcPr>
            <w:tcW w:type="dxa" w:w="1972"/>
          </w:tcPr>
          <w:p>
            <w:pPr>
              <w:spacing w:after="0"/>
              <w:jc w:val="left"/>
            </w:pPr>
            <w:r>
              <w:rPr>
                <w:sz w:val="16"/>
              </w:rPr>
              <w:t>Not Applicable in NRI for this county; no descriptor.</w:t>
            </w:r>
          </w:p>
        </w:tc>
      </w:tr>
      <w:tr>
        <w:trPr>
          <w:cantSplit/>
        </w:trPr>
        <w:tc>
          <w:tcPr>
            <w:tcW w:type="dxa" w:w="1037"/>
          </w:tcPr>
          <w:p>
            <w:pPr>
              <w:spacing w:after="0"/>
              <w:jc w:val="left"/>
            </w:pPr>
            <w:r>
              <w:rPr>
                <w:sz w:val="16"/>
              </w:rPr>
              <w:t>Volcanic Activity</w:t>
            </w:r>
          </w:p>
        </w:tc>
        <w:tc>
          <w:tcPr>
            <w:tcW w:type="dxa" w:w="1240"/>
          </w:tcPr>
          <w:p>
            <w:pPr>
              <w:spacing w:after="0"/>
              <w:jc w:val="right"/>
            </w:pPr>
          </w:p>
        </w:tc>
        <w:tc>
          <w:tcPr>
            <w:tcW w:type="dxa" w:w="1446"/>
          </w:tcPr>
          <w:p>
            <w:pPr>
              <w:spacing w:after="0"/>
              <w:jc w:val="left"/>
            </w:pPr>
            <w:r>
              <w:rPr>
                <w:sz w:val="16"/>
              </w:rPr>
              <w:t>annual probability</w:t>
            </w:r>
          </w:p>
        </w:tc>
        <w:tc>
          <w:tcPr>
            <w:tcW w:type="dxa" w:w="1569"/>
          </w:tcPr>
          <w:p>
            <w:pPr>
              <w:spacing w:after="0"/>
              <w:jc w:val="left"/>
            </w:pPr>
          </w:p>
        </w:tc>
        <w:tc>
          <w:tcPr>
            <w:tcW w:type="dxa" w:w="1037"/>
          </w:tcPr>
          <w:p>
            <w:pPr>
              <w:spacing w:after="0"/>
              <w:jc w:val="left"/>
            </w:pPr>
          </w:p>
        </w:tc>
        <w:tc>
          <w:tcPr>
            <w:tcW w:type="dxa" w:w="1757"/>
          </w:tcPr>
          <w:p>
            <w:pPr>
              <w:spacing w:after="0"/>
              <w:jc w:val="left"/>
            </w:pPr>
          </w:p>
        </w:tc>
        <w:tc>
          <w:tcPr>
            <w:tcW w:type="dxa" w:w="1519"/>
          </w:tcPr>
          <w:p>
            <w:pPr>
              <w:spacing w:after="0"/>
              <w:jc w:val="right"/>
            </w:pPr>
            <w:r>
              <w:rPr>
                <w:sz w:val="16"/>
              </w:rPr>
              <w:t>not shown</w:t>
            </w:r>
          </w:p>
        </w:tc>
        <w:tc>
          <w:tcPr>
            <w:tcW w:type="dxa" w:w="1498"/>
          </w:tcPr>
          <w:p>
            <w:pPr>
              <w:spacing w:after="0"/>
              <w:jc w:val="left"/>
            </w:pPr>
            <w:r>
              <w:rPr>
                <w:sz w:val="16"/>
              </w:rPr>
              <w:t>modeled</w:t>
            </w:r>
          </w:p>
        </w:tc>
        <w:tc>
          <w:tcPr>
            <w:tcW w:type="dxa" w:w="1037"/>
          </w:tcPr>
          <w:p>
            <w:pPr>
              <w:spacing w:after="0"/>
              <w:jc w:val="left"/>
            </w:pPr>
            <w:r>
              <w:rPr>
                <w:sz w:val="16"/>
              </w:rPr>
              <w:t>see B1-f</w:t>
            </w:r>
          </w:p>
        </w:tc>
        <w:tc>
          <w:tcPr>
            <w:tcW w:type="dxa" w:w="1972"/>
          </w:tcPr>
          <w:p>
            <w:pPr>
              <w:spacing w:after="0"/>
              <w:jc w:val="left"/>
            </w:pPr>
            <w:r>
              <w:rPr>
                <w:sz w:val="16"/>
              </w:rPr>
              <w:t>Not Applicable in NRI for this county; no descriptor.</w:t>
            </w:r>
          </w:p>
        </w:tc>
      </w:tr>
      <w:tr>
        <w:trPr>
          <w:cantSplit/>
        </w:trPr>
        <w:tc>
          <w:tcPr>
            <w:tcW w:type="dxa" w:w="1037"/>
          </w:tcPr>
          <w:p>
            <w:pPr>
              <w:spacing w:after="0"/>
              <w:jc w:val="left"/>
            </w:pPr>
            <w:r>
              <w:rPr>
                <w:sz w:val="16"/>
              </w:rPr>
              <w:t>Wildfire</w:t>
            </w:r>
          </w:p>
        </w:tc>
        <w:tc>
          <w:tcPr>
            <w:tcW w:type="dxa" w:w="1240"/>
          </w:tcPr>
          <w:p>
            <w:pPr>
              <w:spacing w:after="0"/>
              <w:jc w:val="right"/>
            </w:pPr>
            <w:r>
              <w:rPr>
                <w:sz w:val="16"/>
              </w:rPr>
              <w:t>0.000559</w:t>
            </w:r>
          </w:p>
        </w:tc>
        <w:tc>
          <w:tcPr>
            <w:tcW w:type="dxa" w:w="1446"/>
          </w:tcPr>
          <w:p>
            <w:pPr>
              <w:spacing w:after="0"/>
              <w:jc w:val="left"/>
            </w:pPr>
            <w:r>
              <w:rPr>
                <w:sz w:val="16"/>
              </w:rPr>
              <w:t>annual probability at a location</w:t>
            </w:r>
          </w:p>
        </w:tc>
        <w:tc>
          <w:tcPr>
            <w:tcW w:type="dxa" w:w="1569"/>
          </w:tcPr>
          <w:p>
            <w:pPr>
              <w:spacing w:after="0"/>
              <w:jc w:val="left"/>
            </w:pPr>
            <w:r>
              <w:rPr>
                <w:sz w:val="16"/>
              </w:rPr>
              <w:t>chance a given location in the county burns in a year: 0.0559%</w:t>
            </w:r>
          </w:p>
        </w:tc>
        <w:tc>
          <w:tcPr>
            <w:tcW w:type="dxa" w:w="1037"/>
          </w:tcPr>
          <w:p>
            <w:pPr>
              <w:spacing w:after="0"/>
              <w:jc w:val="left"/>
            </w:pPr>
          </w:p>
        </w:tc>
        <w:tc>
          <w:tcPr>
            <w:tcW w:type="dxa" w:w="1757"/>
          </w:tcPr>
          <w:p>
            <w:pPr>
              <w:spacing w:after="0"/>
              <w:jc w:val="left"/>
            </w:pPr>
            <w:r>
              <w:rPr>
                <w:sz w:val="16"/>
              </w:rPr>
              <w:t>Storm Events records in 0 of 30 years, 1996 to 2025 (0%)</w:t>
            </w:r>
          </w:p>
        </w:tc>
        <w:tc>
          <w:tcPr>
            <w:tcW w:type="dxa" w:w="1519"/>
          </w:tcPr>
          <w:p>
            <w:pPr>
              <w:spacing w:after="0"/>
              <w:jc w:val="right"/>
            </w:pPr>
            <w:r>
              <w:rPr>
                <w:sz w:val="16"/>
              </w:rPr>
              <w:t>not shown</w:t>
            </w:r>
          </w:p>
        </w:tc>
        <w:tc>
          <w:tcPr>
            <w:tcW w:type="dxa" w:w="1498"/>
          </w:tcPr>
          <w:p>
            <w:pPr>
              <w:spacing w:after="0"/>
              <w:jc w:val="left"/>
            </w:pPr>
            <w:r>
              <w:rPr>
                <w:sz w:val="16"/>
              </w:rPr>
              <w:t>modeled</w:t>
            </w:r>
          </w:p>
        </w:tc>
        <w:tc>
          <w:tcPr>
            <w:tcW w:type="dxa" w:w="1037"/>
          </w:tcPr>
          <w:p>
            <w:pPr>
              <w:spacing w:after="0"/>
              <w:jc w:val="left"/>
            </w:pPr>
            <w:r>
              <w:rPr>
                <w:sz w:val="16"/>
              </w:rPr>
              <w:t>see B1-f</w:t>
            </w:r>
          </w:p>
        </w:tc>
        <w:tc>
          <w:tcPr>
            <w:tcW w:type="dxa" w:w="1972"/>
          </w:tcPr>
          <w:p>
            <w:pPr>
              <w:spacing w:after="0"/>
              <w:jc w:val="left"/>
            </w:pPr>
            <w:r>
              <w:rPr>
                <w:sz w:val="16"/>
              </w:rPr>
              <w:t>No Storm Events record of this hazard, 1996 to 2025; descriptor not assigned (the NRI value is the chance at a location in the county, not how often the hazard affects the county)</w:t>
            </w:r>
          </w:p>
        </w:tc>
      </w:tr>
      <w:tr>
        <w:trPr>
          <w:cantSplit/>
        </w:trPr>
        <w:tc>
          <w:tcPr>
            <w:tcW w:type="dxa" w:w="1037"/>
          </w:tcPr>
          <w:p>
            <w:pPr>
              <w:spacing w:after="0"/>
              <w:jc w:val="left"/>
            </w:pPr>
            <w:r>
              <w:rPr>
                <w:sz w:val="16"/>
              </w:rPr>
              <w:t>Winter Weather</w:t>
            </w:r>
          </w:p>
        </w:tc>
        <w:tc>
          <w:tcPr>
            <w:tcW w:type="dxa" w:w="1240"/>
          </w:tcPr>
          <w:p>
            <w:pPr>
              <w:spacing w:after="0"/>
              <w:jc w:val="right"/>
            </w:pPr>
            <w:r>
              <w:rPr>
                <w:sz w:val="16"/>
              </w:rPr>
              <w:t>8.53</w:t>
            </w:r>
          </w:p>
        </w:tc>
        <w:tc>
          <w:tcPr>
            <w:tcW w:type="dxa" w:w="1446"/>
          </w:tcPr>
          <w:p>
            <w:pPr>
              <w:spacing w:after="0"/>
              <w:jc w:val="left"/>
            </w:pPr>
            <w:r>
              <w:rPr>
                <w:sz w:val="16"/>
              </w:rPr>
              <w:t>event-days per year</w:t>
            </w:r>
          </w:p>
        </w:tc>
        <w:tc>
          <w:tcPr>
            <w:tcW w:type="dxa" w:w="1569"/>
          </w:tcPr>
          <w:p>
            <w:pPr>
              <w:spacing w:after="0"/>
              <w:jc w:val="left"/>
            </w:pPr>
            <w:r>
              <w:rPr>
                <w:sz w:val="16"/>
              </w:rPr>
              <w:t>about 8.53 days per year</w:t>
            </w:r>
          </w:p>
        </w:tc>
        <w:tc>
          <w:tcPr>
            <w:tcW w:type="dxa" w:w="1037"/>
          </w:tcPr>
          <w:p>
            <w:pPr>
              <w:spacing w:after="0"/>
              <w:jc w:val="left"/>
            </w:pPr>
            <w:r>
              <w:rPr>
                <w:sz w:val="16"/>
              </w:rPr>
              <w:t>Highly likely</w:t>
            </w:r>
          </w:p>
        </w:tc>
        <w:tc>
          <w:tcPr>
            <w:tcW w:type="dxa" w:w="1757"/>
          </w:tcPr>
          <w:p>
            <w:pPr>
              <w:spacing w:after="0"/>
              <w:jc w:val="left"/>
            </w:pPr>
            <w:r>
              <w:rPr>
                <w:sz w:val="16"/>
              </w:rPr>
              <w:t>event-days in 28 of 30 years, 1996 to 2025 (93.3%)</w:t>
            </w:r>
          </w:p>
        </w:tc>
        <w:tc>
          <w:tcPr>
            <w:tcW w:type="dxa" w:w="1519"/>
          </w:tcPr>
          <w:p>
            <w:pPr>
              <w:spacing w:after="0"/>
              <w:jc w:val="right"/>
            </w:pPr>
            <w:r>
              <w:rPr>
                <w:sz w:val="16"/>
              </w:rPr>
              <w:t>162</w:t>
            </w:r>
          </w:p>
        </w:tc>
        <w:tc>
          <w:tcPr>
            <w:tcW w:type="dxa" w:w="1498"/>
          </w:tcPr>
          <w:p>
            <w:pPr>
              <w:spacing w:after="0"/>
              <w:jc w:val="left"/>
            </w:pPr>
            <w:r>
              <w:rPr>
                <w:sz w:val="16"/>
              </w:rPr>
              <w:t>2005-11-12 to 2024-11-12 (19 years)</w:t>
            </w:r>
          </w:p>
        </w:tc>
        <w:tc>
          <w:tcPr>
            <w:tcW w:type="dxa" w:w="1037"/>
          </w:tcPr>
          <w:p>
            <w:pPr>
              <w:spacing w:after="0"/>
              <w:jc w:val="left"/>
            </w:pPr>
            <w:r>
              <w:rPr>
                <w:sz w:val="16"/>
              </w:rPr>
              <w:t>countywide</w:t>
            </w:r>
          </w:p>
        </w:tc>
        <w:tc>
          <w:tcPr>
            <w:tcW w:type="dxa" w:w="1972"/>
          </w:tcPr>
          <w:p>
            <w:pPr>
              <w:spacing w:after="0"/>
              <w:jc w:val="left"/>
            </w:pPr>
          </w:p>
        </w:tc>
      </w:tr>
    </w:tbl>
    <w:p>
      <w:pPr>
        <w:spacing w:after="40" w:before="60"/>
      </w:pPr>
      <w:r>
        <w:rPr>
          <w:sz w:val="15"/>
        </w:rPr>
        <w:t>FEMA annualized frequency (modeled) comes from the National Risk Index v1.20 (December 2025). It is not recorded events divided by years, and what it measures depends on the hazard. For most hazards it estimates how often the hazard affects this county each year: it counts events or event-days (drought, heat wave, cold wave, winter weather, ice storm and inland flooding are in days per year; lightning is the number of days per year with a recorded cloud-to-ground strike, from the NOAA Storm Prediction Center daily lightning climatology); it may count events in the surrounding area (hail, strong wind, tornado, hurricane and ice storm use a 49 km grid and buffers) and is averaged over the county's area; and some hazards use a minimum value for places with no recorded event. Earthquake, wildfire and coastal flooding are different: FEMA computes them for each census block and averages them over the county, so the value is the chance (for coastal flooding, the modeled number of floods per year) at a location in the county, which is lower than the chance that the hazard strikes somewhere in the county. Earthquake is the chance of at least minor-damage shaking (U.S. Geological Survey model); wildfire is the chance that a location burns in a large fire (U.S. Forest Service burn probability); coastal flooding comes from FEMA flood zones and NOAA high-tide flooding, so it can be above 1 where high-tide flooding is frequent. Tsunami is the value at the county's most exposed location, from recorded events and modeled return periods. For these four hazards the packet gives no "1 in N years" and takes the descriptor from Storm Events (none for earthquake) unless the value is 1 or more a year. Landslide is a U.S. Geological Survey modeled county rate spread by slope susceptibility. Volcanic activity is the chance that a volcano affecting the county erupts in a year. Drought counts only extreme and exceptional drought (D3 and D4). Source: FEMA, National Risk Index Technical Documentation v1.20, sections 5.2.2 (Table 5), 5.2.3, 7.4, 10.4, 16.5, 17.1, 17.3.1, 17.5, 20.3.1, 21.4, 22.4 and 6 to 23.</w:t>
      </w:r>
    </w:p>
    <w:p>
      <w:pPr>
        <w:spacing w:after="20" w:before="0"/>
      </w:pPr>
      <w:r>
        <w:rPr>
          <w:b/>
          <w:color w:val="555555"/>
          <w:sz w:val="15"/>
        </w:rPr>
        <w:t xml:space="preserve">Source: </w:t>
      </w:r>
      <w:r>
        <w:rPr>
          <w:color w:val="555555"/>
          <w:sz w:val="15"/>
        </w:rPr>
        <w:t xml:space="preserve">FEMA, FEMA National Risk Index 1.20.0 (December 2025), county and census tract tables, version 1.20.0, pulled 2026-09-28, </w:t>
      </w:r>
      <w:hyperlink r:id="rId13">
        <w:r>
          <w:rPr>
            <w:color w:val="1F4E99"/>
            <w:sz w:val="15"/>
            <w:u w:val="single"/>
          </w:rPr>
          <w:t>https://www.fema.gov/about/reports-and-data/openfema/nri/v120/NRI_Table_Counties.zip</w:t>
        </w:r>
      </w:hyperlink>
      <w:r>
        <w:rPr>
          <w:color w:val="555555"/>
          <w:sz w:val="15"/>
        </w:rPr>
        <w:t xml:space="preserve"> (download, 25 MB)</w:t>
      </w:r>
      <w:r>
        <w:rPr>
          <w:color w:val="555555"/>
          <w:sz w:val="15"/>
        </w:rPr>
        <w:t xml:space="preserve">, </w:t>
      </w:r>
      <w:hyperlink r:id="rId14">
        <w:r>
          <w:rPr>
            <w:color w:val="1F4E99"/>
            <w:sz w:val="15"/>
            <w:u w:val="single"/>
          </w:rPr>
          <w:t>https://www.fema.gov/about/reports-and-data/openfema/nri/v120/NRI_Table_CensusTracts.zip</w:t>
        </w:r>
      </w:hyperlink>
      <w:r>
        <w:rPr>
          <w:color w:val="555555"/>
          <w:sz w:val="15"/>
        </w:rPr>
        <w:t xml:space="preserve"> (download, 635 MB)</w:t>
      </w:r>
    </w:p>
    <w:p>
      <w:pPr>
        <w:spacing w:after="20" w:before="0"/>
      </w:pPr>
      <w:r>
        <w:rPr>
          <w:b/>
          <w:color w:val="555555"/>
          <w:sz w:val="15"/>
        </w:rPr>
        <w:t xml:space="preserve">Source: </w:t>
      </w:r>
      <w:r>
        <w:rPr>
          <w:color w:val="555555"/>
          <w:sz w:val="15"/>
        </w:rPr>
        <w:t xml:space="preserve">NOAA NCEI, NOAA NCEI Storm Events Database, details files (csvfiles v1.0), version c20260918, pulled 2026-09-28, </w:t>
      </w:r>
      <w:hyperlink r:id="rId15">
        <w:r>
          <w:rPr>
            <w:color w:val="1F4E99"/>
            <w:sz w:val="15"/>
            <w:u w:val="single"/>
          </w:rPr>
          <w:t>https://www.ncei.noaa.gov/pub/data/swdi/stormevents/csvfiles/</w:t>
        </w:r>
      </w:hyperlink>
    </w:p>
    <w:p>
      <w:pPr>
        <w:spacing w:after="80" w:before="0"/>
      </w:pPr>
    </w:p>
    <w:p>
      <w:pPr>
        <w:pStyle w:val="Heading3"/>
        <w:keepNext/>
        <w:spacing w:after="80"/>
      </w:pPr>
      <w:r>
        <w:rPr/>
        <w:t>Descriptor scale used in this packet (defined per unit)</w:t>
      </w:r>
    </w:p>
    <w:tbl>
      <w:tblPr>
        <w:tblW w:type="auto" w:w="0"/>
        <w:jc w:val="left"/>
        <w:tblBorders>
          <w:top w:val="single" w:sz="4" w:space="0" w:color="808080"/>
          <w:left w:val="single" w:sz="4" w:space="0" w:color="808080"/>
          <w:bottom w:val="single" w:sz="4" w:space="0" w:color="808080"/>
          <w:right w:val="single" w:sz="4" w:space="0" w:color="808080"/>
          <w:insideH w:val="single" w:sz="4" w:space="0" w:color="808080"/>
          <w:insideV w:val="single" w:sz="4" w:space="0" w:color="808080"/>
        </w:tblBorders>
        <w:tblLayout w:type="fixed"/>
        <w:tblCellMar>
          <w:top w:w="15" w:type="dxa"/>
          <w:left w:w="60" w:type="dxa"/>
          <w:bottom w:w="15" w:type="dxa"/>
          <w:right w:w="60" w:type="dxa"/>
        </w:tblCellMar>
        <w:tblLook w:firstColumn="1" w:firstRow="1" w:lastColumn="0" w:lastRow="0" w:noHBand="0" w:noVBand="1" w:val="04A0"/>
        <w:tblCaption w:val="Descriptor scale used in this packet (defined per unit)"/>
        <w:tblDescription w:val="Hazard Plain table b1e_scale"/>
      </w:tblPr>
      <w:tblGrid>
        <w:gridCol w:w="4048"/>
        <w:gridCol w:w="2079"/>
        <w:gridCol w:w="7986"/>
      </w:tblGrid>
      <w:tr>
        <w:trPr>
          <w:cantSplit/>
          <w:tblHeader/>
        </w:trPr>
        <w:tc>
          <w:tcPr>
            <w:tcW w:type="dxa" w:w="4048"/>
            <w:shd w:val="clear" w:color="auto" w:fill="E8E8E8"/>
          </w:tcPr>
          <w:p>
            <w:pPr>
              <w:spacing w:after="0"/>
              <w:jc w:val="left"/>
            </w:pPr>
            <w:r>
              <w:rPr>
                <w:b/>
                <w:sz w:val="16"/>
              </w:rPr>
              <w:t>Unit</w:t>
            </w:r>
          </w:p>
        </w:tc>
        <w:tc>
          <w:tcPr>
            <w:tcW w:type="dxa" w:w="2079"/>
            <w:shd w:val="clear" w:color="auto" w:fill="E8E8E8"/>
          </w:tcPr>
          <w:p>
            <w:pPr>
              <w:spacing w:after="0"/>
              <w:jc w:val="left"/>
            </w:pPr>
            <w:r>
              <w:rPr>
                <w:b/>
                <w:sz w:val="16"/>
              </w:rPr>
              <w:t>Descriptor</w:t>
            </w:r>
          </w:p>
        </w:tc>
        <w:tc>
          <w:tcPr>
            <w:tcW w:type="dxa" w:w="7986"/>
            <w:shd w:val="clear" w:color="auto" w:fill="E8E8E8"/>
          </w:tcPr>
          <w:p>
            <w:pPr>
              <w:spacing w:after="0"/>
              <w:jc w:val="left"/>
            </w:pPr>
            <w:r>
              <w:rPr>
                <w:b/>
                <w:sz w:val="16"/>
              </w:rPr>
              <w:t>Definition</w:t>
            </w:r>
          </w:p>
        </w:tc>
      </w:tr>
      <w:tr>
        <w:trPr>
          <w:cantSplit/>
        </w:trPr>
        <w:tc>
          <w:tcPr>
            <w:tcW w:type="dxa" w:w="4048"/>
          </w:tcPr>
          <w:p>
            <w:pPr>
              <w:spacing w:after="0"/>
              <w:jc w:val="left"/>
            </w:pPr>
            <w:r>
              <w:rPr>
                <w:sz w:val="16"/>
              </w:rPr>
              <w:t>events per year</w:t>
            </w:r>
          </w:p>
        </w:tc>
        <w:tc>
          <w:tcPr>
            <w:tcW w:type="dxa" w:w="2079"/>
          </w:tcPr>
          <w:p>
            <w:pPr>
              <w:spacing w:after="0"/>
              <w:jc w:val="left"/>
            </w:pPr>
            <w:r>
              <w:rPr>
                <w:sz w:val="16"/>
              </w:rPr>
              <w:t>Highly likely</w:t>
            </w:r>
          </w:p>
        </w:tc>
        <w:tc>
          <w:tcPr>
            <w:tcW w:type="dxa" w:w="7986"/>
          </w:tcPr>
          <w:p>
            <w:pPr>
              <w:spacing w:after="0"/>
              <w:jc w:val="left"/>
            </w:pPr>
            <w:r>
              <w:rPr>
                <w:sz w:val="16"/>
              </w:rPr>
              <w:t>1 or more per year</w:t>
            </w:r>
          </w:p>
        </w:tc>
      </w:tr>
      <w:tr>
        <w:trPr>
          <w:cantSplit/>
        </w:trPr>
        <w:tc>
          <w:tcPr>
            <w:tcW w:type="dxa" w:w="4048"/>
          </w:tcPr>
          <w:p>
            <w:pPr>
              <w:spacing w:after="0"/>
              <w:jc w:val="left"/>
            </w:pPr>
            <w:r>
              <w:rPr>
                <w:sz w:val="16"/>
              </w:rPr>
              <w:t>events per year</w:t>
            </w:r>
          </w:p>
        </w:tc>
        <w:tc>
          <w:tcPr>
            <w:tcW w:type="dxa" w:w="2079"/>
          </w:tcPr>
          <w:p>
            <w:pPr>
              <w:spacing w:after="0"/>
              <w:jc w:val="left"/>
            </w:pPr>
            <w:r>
              <w:rPr>
                <w:sz w:val="16"/>
              </w:rPr>
              <w:t>Likely</w:t>
            </w:r>
          </w:p>
        </w:tc>
        <w:tc>
          <w:tcPr>
            <w:tcW w:type="dxa" w:w="7986"/>
          </w:tcPr>
          <w:p>
            <w:pPr>
              <w:spacing w:after="0"/>
              <w:jc w:val="left"/>
            </w:pPr>
            <w:r>
              <w:rPr>
                <w:sz w:val="16"/>
              </w:rPr>
              <w:t>about once in 1 to 10 years</w:t>
            </w:r>
          </w:p>
        </w:tc>
      </w:tr>
      <w:tr>
        <w:trPr>
          <w:cantSplit/>
        </w:trPr>
        <w:tc>
          <w:tcPr>
            <w:tcW w:type="dxa" w:w="4048"/>
          </w:tcPr>
          <w:p>
            <w:pPr>
              <w:spacing w:after="0"/>
              <w:jc w:val="left"/>
            </w:pPr>
            <w:r>
              <w:rPr>
                <w:sz w:val="16"/>
              </w:rPr>
              <w:t>events per year</w:t>
            </w:r>
          </w:p>
        </w:tc>
        <w:tc>
          <w:tcPr>
            <w:tcW w:type="dxa" w:w="2079"/>
          </w:tcPr>
          <w:p>
            <w:pPr>
              <w:spacing w:after="0"/>
              <w:jc w:val="left"/>
            </w:pPr>
            <w:r>
              <w:rPr>
                <w:sz w:val="16"/>
              </w:rPr>
              <w:t>Possible</w:t>
            </w:r>
          </w:p>
        </w:tc>
        <w:tc>
          <w:tcPr>
            <w:tcW w:type="dxa" w:w="7986"/>
          </w:tcPr>
          <w:p>
            <w:pPr>
              <w:spacing w:after="0"/>
              <w:jc w:val="left"/>
            </w:pPr>
            <w:r>
              <w:rPr>
                <w:sz w:val="16"/>
              </w:rPr>
              <w:t>about once in 10 to 100 years</w:t>
            </w:r>
          </w:p>
        </w:tc>
      </w:tr>
      <w:tr>
        <w:trPr>
          <w:cantSplit/>
        </w:trPr>
        <w:tc>
          <w:tcPr>
            <w:tcW w:type="dxa" w:w="4048"/>
          </w:tcPr>
          <w:p>
            <w:pPr>
              <w:spacing w:after="0"/>
              <w:jc w:val="left"/>
            </w:pPr>
            <w:r>
              <w:rPr>
                <w:sz w:val="16"/>
              </w:rPr>
              <w:t>events per year</w:t>
            </w:r>
          </w:p>
        </w:tc>
        <w:tc>
          <w:tcPr>
            <w:tcW w:type="dxa" w:w="2079"/>
          </w:tcPr>
          <w:p>
            <w:pPr>
              <w:spacing w:after="0"/>
              <w:jc w:val="left"/>
            </w:pPr>
            <w:r>
              <w:rPr>
                <w:sz w:val="16"/>
              </w:rPr>
              <w:t>Unlikely</w:t>
            </w:r>
          </w:p>
        </w:tc>
        <w:tc>
          <w:tcPr>
            <w:tcW w:type="dxa" w:w="7986"/>
          </w:tcPr>
          <w:p>
            <w:pPr>
              <w:spacing w:after="0"/>
              <w:jc w:val="left"/>
            </w:pPr>
            <w:r>
              <w:rPr>
                <w:sz w:val="16"/>
              </w:rPr>
              <w:t>less than once in 100 years</w:t>
            </w:r>
          </w:p>
        </w:tc>
      </w:tr>
      <w:tr>
        <w:trPr>
          <w:cantSplit/>
        </w:trPr>
        <w:tc>
          <w:tcPr>
            <w:tcW w:type="dxa" w:w="4048"/>
          </w:tcPr>
          <w:p>
            <w:pPr>
              <w:spacing w:after="0"/>
              <w:jc w:val="left"/>
            </w:pPr>
            <w:r>
              <w:rPr>
                <w:sz w:val="16"/>
              </w:rPr>
              <w:t>annual probability</w:t>
            </w:r>
          </w:p>
        </w:tc>
        <w:tc>
          <w:tcPr>
            <w:tcW w:type="dxa" w:w="2079"/>
          </w:tcPr>
          <w:p>
            <w:pPr>
              <w:spacing w:after="0"/>
              <w:jc w:val="left"/>
            </w:pPr>
            <w:r>
              <w:rPr>
                <w:sz w:val="16"/>
              </w:rPr>
              <w:t>Likely</w:t>
            </w:r>
          </w:p>
        </w:tc>
        <w:tc>
          <w:tcPr>
            <w:tcW w:type="dxa" w:w="7986"/>
          </w:tcPr>
          <w:p>
            <w:pPr>
              <w:spacing w:after="0"/>
              <w:jc w:val="left"/>
            </w:pPr>
            <w:r>
              <w:rPr>
                <w:sz w:val="16"/>
              </w:rPr>
              <w:t>10% to under 100% chance in a given year</w:t>
            </w:r>
          </w:p>
        </w:tc>
      </w:tr>
      <w:tr>
        <w:trPr>
          <w:cantSplit/>
        </w:trPr>
        <w:tc>
          <w:tcPr>
            <w:tcW w:type="dxa" w:w="4048"/>
          </w:tcPr>
          <w:p>
            <w:pPr>
              <w:spacing w:after="0"/>
              <w:jc w:val="left"/>
            </w:pPr>
            <w:r>
              <w:rPr>
                <w:sz w:val="16"/>
              </w:rPr>
              <w:t>annual probability</w:t>
            </w:r>
          </w:p>
        </w:tc>
        <w:tc>
          <w:tcPr>
            <w:tcW w:type="dxa" w:w="2079"/>
          </w:tcPr>
          <w:p>
            <w:pPr>
              <w:spacing w:after="0"/>
              <w:jc w:val="left"/>
            </w:pPr>
            <w:r>
              <w:rPr>
                <w:sz w:val="16"/>
              </w:rPr>
              <w:t>Possible</w:t>
            </w:r>
          </w:p>
        </w:tc>
        <w:tc>
          <w:tcPr>
            <w:tcW w:type="dxa" w:w="7986"/>
          </w:tcPr>
          <w:p>
            <w:pPr>
              <w:spacing w:after="0"/>
              <w:jc w:val="left"/>
            </w:pPr>
            <w:r>
              <w:rPr>
                <w:sz w:val="16"/>
              </w:rPr>
              <w:t>1% to under 10% chance in a given year</w:t>
            </w:r>
          </w:p>
        </w:tc>
      </w:tr>
      <w:tr>
        <w:trPr>
          <w:cantSplit/>
        </w:trPr>
        <w:tc>
          <w:tcPr>
            <w:tcW w:type="dxa" w:w="4048"/>
          </w:tcPr>
          <w:p>
            <w:pPr>
              <w:spacing w:after="0"/>
              <w:jc w:val="left"/>
            </w:pPr>
            <w:r>
              <w:rPr>
                <w:sz w:val="16"/>
              </w:rPr>
              <w:t>annual probability</w:t>
            </w:r>
          </w:p>
        </w:tc>
        <w:tc>
          <w:tcPr>
            <w:tcW w:type="dxa" w:w="2079"/>
          </w:tcPr>
          <w:p>
            <w:pPr>
              <w:spacing w:after="0"/>
              <w:jc w:val="left"/>
            </w:pPr>
            <w:r>
              <w:rPr>
                <w:sz w:val="16"/>
              </w:rPr>
              <w:t>Unlikely</w:t>
            </w:r>
          </w:p>
        </w:tc>
        <w:tc>
          <w:tcPr>
            <w:tcW w:type="dxa" w:w="7986"/>
          </w:tcPr>
          <w:p>
            <w:pPr>
              <w:spacing w:after="0"/>
              <w:jc w:val="left"/>
            </w:pPr>
            <w:r>
              <w:rPr>
                <w:sz w:val="16"/>
              </w:rPr>
              <w:t>under 1% chance in a given year</w:t>
            </w:r>
          </w:p>
        </w:tc>
      </w:tr>
      <w:tr>
        <w:trPr>
          <w:cantSplit/>
        </w:trPr>
        <w:tc>
          <w:tcPr>
            <w:tcW w:type="dxa" w:w="4048"/>
          </w:tcPr>
          <w:p>
            <w:pPr>
              <w:spacing w:after="0"/>
              <w:jc w:val="left"/>
            </w:pPr>
            <w:r>
              <w:rPr>
                <w:sz w:val="16"/>
              </w:rPr>
              <w:t>event-days (share of years)</w:t>
            </w:r>
          </w:p>
        </w:tc>
        <w:tc>
          <w:tcPr>
            <w:tcW w:type="dxa" w:w="2079"/>
          </w:tcPr>
          <w:p>
            <w:pPr>
              <w:spacing w:after="0"/>
              <w:jc w:val="left"/>
            </w:pPr>
            <w:r>
              <w:rPr>
                <w:sz w:val="16"/>
              </w:rPr>
              <w:t>Highly likely</w:t>
            </w:r>
          </w:p>
        </w:tc>
        <w:tc>
          <w:tcPr>
            <w:tcW w:type="dxa" w:w="7986"/>
          </w:tcPr>
          <w:p>
            <w:pPr>
              <w:spacing w:after="0"/>
              <w:jc w:val="left"/>
            </w:pPr>
            <w:r>
              <w:rPr>
                <w:sz w:val="16"/>
              </w:rPr>
              <w:t>event-days recorded in 90% or more of years</w:t>
            </w:r>
          </w:p>
        </w:tc>
      </w:tr>
      <w:tr>
        <w:trPr>
          <w:cantSplit/>
        </w:trPr>
        <w:tc>
          <w:tcPr>
            <w:tcW w:type="dxa" w:w="4048"/>
          </w:tcPr>
          <w:p>
            <w:pPr>
              <w:spacing w:after="0"/>
              <w:jc w:val="left"/>
            </w:pPr>
            <w:r>
              <w:rPr>
                <w:sz w:val="16"/>
              </w:rPr>
              <w:t>event-days (share of years)</w:t>
            </w:r>
          </w:p>
        </w:tc>
        <w:tc>
          <w:tcPr>
            <w:tcW w:type="dxa" w:w="2079"/>
          </w:tcPr>
          <w:p>
            <w:pPr>
              <w:spacing w:after="0"/>
              <w:jc w:val="left"/>
            </w:pPr>
            <w:r>
              <w:rPr>
                <w:sz w:val="16"/>
              </w:rPr>
              <w:t>Likely</w:t>
            </w:r>
          </w:p>
        </w:tc>
        <w:tc>
          <w:tcPr>
            <w:tcW w:type="dxa" w:w="7986"/>
          </w:tcPr>
          <w:p>
            <w:pPr>
              <w:spacing w:after="0"/>
              <w:jc w:val="left"/>
            </w:pPr>
            <w:r>
              <w:rPr>
                <w:sz w:val="16"/>
              </w:rPr>
              <w:t>event-days recorded in 10% to under 90% of years</w:t>
            </w:r>
          </w:p>
        </w:tc>
      </w:tr>
      <w:tr>
        <w:trPr>
          <w:cantSplit/>
        </w:trPr>
        <w:tc>
          <w:tcPr>
            <w:tcW w:type="dxa" w:w="4048"/>
          </w:tcPr>
          <w:p>
            <w:pPr>
              <w:spacing w:after="0"/>
              <w:jc w:val="left"/>
            </w:pPr>
            <w:r>
              <w:rPr>
                <w:sz w:val="16"/>
              </w:rPr>
              <w:t>event-days (share of years)</w:t>
            </w:r>
          </w:p>
        </w:tc>
        <w:tc>
          <w:tcPr>
            <w:tcW w:type="dxa" w:w="2079"/>
          </w:tcPr>
          <w:p>
            <w:pPr>
              <w:spacing w:after="0"/>
              <w:jc w:val="left"/>
            </w:pPr>
            <w:r>
              <w:rPr>
                <w:sz w:val="16"/>
              </w:rPr>
              <w:t>Possible</w:t>
            </w:r>
          </w:p>
        </w:tc>
        <w:tc>
          <w:tcPr>
            <w:tcW w:type="dxa" w:w="7986"/>
          </w:tcPr>
          <w:p>
            <w:pPr>
              <w:spacing w:after="0"/>
              <w:jc w:val="left"/>
            </w:pPr>
            <w:r>
              <w:rPr>
                <w:sz w:val="16"/>
              </w:rPr>
              <w:t>event-days recorded in some years but under 10% of years</w:t>
            </w:r>
          </w:p>
        </w:tc>
      </w:tr>
      <w:tr>
        <w:trPr>
          <w:cantSplit/>
        </w:trPr>
        <w:tc>
          <w:tcPr>
            <w:tcW w:type="dxa" w:w="4048"/>
          </w:tcPr>
          <w:p>
            <w:pPr>
              <w:spacing w:after="0"/>
              <w:jc w:val="left"/>
            </w:pPr>
            <w:r>
              <w:rPr>
                <w:sz w:val="16"/>
              </w:rPr>
              <w:t>lightning strike-days</w:t>
            </w:r>
          </w:p>
        </w:tc>
        <w:tc>
          <w:tcPr>
            <w:tcW w:type="dxa" w:w="2079"/>
          </w:tcPr>
          <w:p>
            <w:pPr>
              <w:spacing w:after="0"/>
              <w:jc w:val="left"/>
            </w:pPr>
            <w:r>
              <w:rPr>
                <w:sz w:val="16"/>
              </w:rPr>
              <w:t>Highly likely</w:t>
            </w:r>
          </w:p>
        </w:tc>
        <w:tc>
          <w:tcPr>
            <w:tcW w:type="dxa" w:w="7986"/>
          </w:tcPr>
          <w:p>
            <w:pPr>
              <w:spacing w:after="0"/>
              <w:jc w:val="left"/>
            </w:pPr>
            <w:r>
              <w:rPr>
                <w:sz w:val="16"/>
              </w:rPr>
              <w:t>cloud-to-ground strikes on 1 or more days per year</w:t>
            </w:r>
          </w:p>
        </w:tc>
      </w:tr>
    </w:tbl>
    <w:p>
      <w:pPr>
        <w:spacing w:after="20" w:before="0"/>
      </w:pPr>
      <w:r>
        <w:rPr>
          <w:b/>
          <w:color w:val="555555"/>
          <w:sz w:val="15"/>
        </w:rPr>
        <w:t xml:space="preserve">Source: </w:t>
      </w:r>
      <w:r>
        <w:rPr>
          <w:color w:val="555555"/>
          <w:sz w:val="15"/>
        </w:rPr>
        <w:t xml:space="preserve">FEMA, FEMA National Risk Index 1.20.0 (December 2025), county and census tract tables, version 1.20.0, pulled 2026-09-28, </w:t>
      </w:r>
      <w:hyperlink r:id="rId13">
        <w:r>
          <w:rPr>
            <w:color w:val="1F4E99"/>
            <w:sz w:val="15"/>
            <w:u w:val="single"/>
          </w:rPr>
          <w:t>https://www.fema.gov/about/reports-and-data/openfema/nri/v120/NRI_Table_Counties.zip</w:t>
        </w:r>
      </w:hyperlink>
      <w:r>
        <w:rPr>
          <w:color w:val="555555"/>
          <w:sz w:val="15"/>
        </w:rPr>
        <w:t xml:space="preserve"> (download, 25 MB)</w:t>
      </w:r>
      <w:r>
        <w:rPr>
          <w:color w:val="555555"/>
          <w:sz w:val="15"/>
        </w:rPr>
        <w:t xml:space="preserve">, </w:t>
      </w:r>
      <w:hyperlink r:id="rId14">
        <w:r>
          <w:rPr>
            <w:color w:val="1F4E99"/>
            <w:sz w:val="15"/>
            <w:u w:val="single"/>
          </w:rPr>
          <w:t>https://www.fema.gov/about/reports-and-data/openfema/nri/v120/NRI_Table_CensusTracts.zip</w:t>
        </w:r>
      </w:hyperlink>
      <w:r>
        <w:rPr>
          <w:color w:val="555555"/>
          <w:sz w:val="15"/>
        </w:rPr>
        <w:t xml:space="preserve"> (download, 635 MB)</w:t>
      </w:r>
    </w:p>
    <w:p>
      <w:pPr>
        <w:spacing w:after="20" w:before="0"/>
      </w:pPr>
      <w:r>
        <w:rPr>
          <w:b/>
          <w:color w:val="555555"/>
          <w:sz w:val="15"/>
        </w:rPr>
        <w:t xml:space="preserve">Source: </w:t>
      </w:r>
      <w:r>
        <w:rPr>
          <w:color w:val="555555"/>
          <w:sz w:val="15"/>
        </w:rPr>
        <w:t xml:space="preserve">NOAA NCEI, NOAA NCEI Storm Events Database, details files (csvfiles v1.0), version c20260918, pulled 2026-09-28, </w:t>
      </w:r>
      <w:hyperlink r:id="rId15">
        <w:r>
          <w:rPr>
            <w:color w:val="1F4E99"/>
            <w:sz w:val="15"/>
            <w:u w:val="single"/>
          </w:rPr>
          <w:t>https://www.ncei.noaa.gov/pub/data/swdi/stormevents/csvfiles/</w:t>
        </w:r>
      </w:hyperlink>
    </w:p>
    <w:p>
      <w:pPr>
        <w:spacing w:after="80" w:before="0"/>
      </w:pPr>
    </w:p>
    <w:p>
      <w:pPr>
        <w:pStyle w:val="Heading3"/>
        <w:keepNext/>
        <w:spacing w:after="80"/>
      </w:pPr>
      <w:r>
        <w:rPr/>
        <w:t>Intensity bands: historical frequency (Storm Events)</w:t>
      </w:r>
    </w:p>
    <w:tbl>
      <w:tblPr>
        <w:tblW w:type="auto" w:w="0"/>
        <w:jc w:val="left"/>
        <w:tblBorders>
          <w:top w:val="single" w:sz="4" w:space="0" w:color="808080"/>
          <w:left w:val="single" w:sz="4" w:space="0" w:color="808080"/>
          <w:bottom w:val="single" w:sz="4" w:space="0" w:color="808080"/>
          <w:right w:val="single" w:sz="4" w:space="0" w:color="808080"/>
          <w:insideH w:val="single" w:sz="4" w:space="0" w:color="808080"/>
          <w:insideV w:val="single" w:sz="4" w:space="0" w:color="808080"/>
        </w:tblBorders>
        <w:tblLayout w:type="fixed"/>
        <w:tblCellMar>
          <w:top w:w="15" w:type="dxa"/>
          <w:left w:w="60" w:type="dxa"/>
          <w:bottom w:w="15" w:type="dxa"/>
          <w:right w:w="60" w:type="dxa"/>
        </w:tblCellMar>
        <w:tblLook w:firstColumn="1" w:firstRow="1" w:lastColumn="0" w:lastRow="0" w:noHBand="0" w:noVBand="1" w:val="04A0"/>
        <w:tblCaption w:val="Intensity bands: historical frequency (Storm Events)"/>
        <w:tblDescription w:val="Hazard Plain table b1e_bands"/>
      </w:tblPr>
      <w:tblGrid>
        <w:gridCol w:w="5648"/>
        <w:gridCol w:w="1893"/>
        <w:gridCol w:w="1893"/>
        <w:gridCol w:w="1726"/>
        <w:gridCol w:w="1476"/>
        <w:gridCol w:w="1476"/>
      </w:tblGrid>
      <w:tr>
        <w:trPr>
          <w:cantSplit/>
          <w:tblHeader/>
        </w:trPr>
        <w:tc>
          <w:tcPr>
            <w:tcW w:type="dxa" w:w="5648"/>
            <w:shd w:val="clear" w:color="auto" w:fill="E8E8E8"/>
          </w:tcPr>
          <w:p>
            <w:pPr>
              <w:spacing w:after="0"/>
              <w:jc w:val="left"/>
            </w:pPr>
            <w:r>
              <w:rPr>
                <w:b/>
                <w:sz w:val="16"/>
              </w:rPr>
              <w:t>Hazard</w:t>
            </w:r>
          </w:p>
        </w:tc>
        <w:tc>
          <w:tcPr>
            <w:tcW w:type="dxa" w:w="1893"/>
            <w:shd w:val="clear" w:color="auto" w:fill="E8E8E8"/>
          </w:tcPr>
          <w:p>
            <w:pPr>
              <w:spacing w:after="0"/>
              <w:jc w:val="left"/>
            </w:pPr>
            <w:r>
              <w:rPr>
                <w:b/>
                <w:sz w:val="16"/>
              </w:rPr>
              <w:t>Band</w:t>
            </w:r>
          </w:p>
        </w:tc>
        <w:tc>
          <w:tcPr>
            <w:tcW w:type="dxa" w:w="1893"/>
            <w:shd w:val="clear" w:color="auto" w:fill="E8E8E8"/>
          </w:tcPr>
          <w:p>
            <w:pPr>
              <w:spacing w:after="0"/>
              <w:jc w:val="left"/>
            </w:pPr>
            <w:r>
              <w:rPr>
                <w:b/>
                <w:sz w:val="16"/>
              </w:rPr>
              <w:t>Years</w:t>
            </w:r>
          </w:p>
        </w:tc>
        <w:tc>
          <w:tcPr>
            <w:tcW w:type="dxa" w:w="1726"/>
            <w:shd w:val="clear" w:color="auto" w:fill="E8E8E8"/>
          </w:tcPr>
          <w:p>
            <w:pPr>
              <w:spacing w:after="0"/>
              <w:jc w:val="right"/>
            </w:pPr>
            <w:r>
              <w:rPr>
                <w:b/>
                <w:sz w:val="16"/>
              </w:rPr>
              <w:t>Events</w:t>
            </w:r>
          </w:p>
          <w:p>
            <w:pPr>
              <w:spacing w:after="0"/>
              <w:jc w:val="right"/>
            </w:pPr>
            <w:r>
              <w:rPr>
                <w:i/>
                <w:color w:val="555555"/>
                <w:sz w:val="14"/>
              </w:rPr>
              <w:t>county-coded records</w:t>
            </w:r>
          </w:p>
        </w:tc>
        <w:tc>
          <w:tcPr>
            <w:tcW w:type="dxa" w:w="1476"/>
            <w:shd w:val="clear" w:color="auto" w:fill="E8E8E8"/>
          </w:tcPr>
          <w:p>
            <w:pPr>
              <w:spacing w:after="0"/>
              <w:jc w:val="right"/>
            </w:pPr>
            <w:r>
              <w:rPr>
                <w:b/>
                <w:sz w:val="16"/>
              </w:rPr>
              <w:t>Years in period</w:t>
            </w:r>
          </w:p>
        </w:tc>
        <w:tc>
          <w:tcPr>
            <w:tcW w:type="dxa" w:w="1476"/>
            <w:shd w:val="clear" w:color="auto" w:fill="E8E8E8"/>
          </w:tcPr>
          <w:p>
            <w:pPr>
              <w:spacing w:after="0"/>
              <w:jc w:val="right"/>
            </w:pPr>
            <w:r>
              <w:rPr>
                <w:b/>
                <w:sz w:val="16"/>
              </w:rPr>
              <w:t>Events per year</w:t>
            </w:r>
          </w:p>
          <w:p>
            <w:pPr>
              <w:spacing w:after="0"/>
              <w:jc w:val="right"/>
            </w:pPr>
            <w:r>
              <w:rPr>
                <w:i/>
                <w:color w:val="555555"/>
                <w:sz w:val="14"/>
              </w:rPr>
              <w:t>events / years</w:t>
            </w:r>
          </w:p>
        </w:tc>
      </w:tr>
      <w:tr>
        <w:trPr>
          <w:cantSplit/>
        </w:trPr>
        <w:tc>
          <w:tcPr>
            <w:tcW w:type="dxa" w:w="5648"/>
          </w:tcPr>
          <w:p>
            <w:pPr>
              <w:spacing w:after="0"/>
              <w:jc w:val="left"/>
            </w:pPr>
            <w:r>
              <w:rPr>
                <w:sz w:val="16"/>
              </w:rPr>
              <w:t>Hail</w:t>
            </w:r>
          </w:p>
        </w:tc>
        <w:tc>
          <w:tcPr>
            <w:tcW w:type="dxa" w:w="1893"/>
          </w:tcPr>
          <w:p>
            <w:pPr>
              <w:spacing w:after="0"/>
              <w:jc w:val="left"/>
            </w:pPr>
            <w:r>
              <w:rPr>
                <w:sz w:val="16"/>
              </w:rPr>
              <w:t>1.00-1.99 in</w:t>
            </w:r>
          </w:p>
        </w:tc>
        <w:tc>
          <w:tcPr>
            <w:tcW w:type="dxa" w:w="1893"/>
          </w:tcPr>
          <w:p>
            <w:pPr>
              <w:spacing w:after="0"/>
              <w:jc w:val="left"/>
            </w:pPr>
            <w:r>
              <w:rPr>
                <w:sz w:val="16"/>
              </w:rPr>
              <w:t>1996 to 2025</w:t>
            </w:r>
          </w:p>
        </w:tc>
        <w:tc>
          <w:tcPr>
            <w:tcW w:type="dxa" w:w="1726"/>
          </w:tcPr>
          <w:p>
            <w:pPr>
              <w:spacing w:after="0"/>
              <w:jc w:val="right"/>
            </w:pPr>
            <w:r>
              <w:rPr>
                <w:sz w:val="16"/>
              </w:rPr>
              <w:t>28</w:t>
            </w:r>
          </w:p>
        </w:tc>
        <w:tc>
          <w:tcPr>
            <w:tcW w:type="dxa" w:w="1476"/>
          </w:tcPr>
          <w:p>
            <w:pPr>
              <w:spacing w:after="0"/>
              <w:jc w:val="right"/>
            </w:pPr>
            <w:r>
              <w:rPr>
                <w:sz w:val="16"/>
              </w:rPr>
              <w:t>30</w:t>
            </w:r>
          </w:p>
        </w:tc>
        <w:tc>
          <w:tcPr>
            <w:tcW w:type="dxa" w:w="1476"/>
          </w:tcPr>
          <w:p>
            <w:pPr>
              <w:spacing w:after="0"/>
              <w:jc w:val="right"/>
            </w:pPr>
            <w:r>
              <w:rPr>
                <w:sz w:val="16"/>
              </w:rPr>
              <w:t>0.933</w:t>
            </w:r>
          </w:p>
        </w:tc>
      </w:tr>
      <w:tr>
        <w:trPr>
          <w:cantSplit/>
        </w:trPr>
        <w:tc>
          <w:tcPr>
            <w:tcW w:type="dxa" w:w="5648"/>
          </w:tcPr>
          <w:p>
            <w:pPr>
              <w:spacing w:after="0"/>
              <w:jc w:val="left"/>
            </w:pPr>
            <w:r>
              <w:rPr>
                <w:sz w:val="16"/>
              </w:rPr>
              <w:t>Hail</w:t>
            </w:r>
          </w:p>
        </w:tc>
        <w:tc>
          <w:tcPr>
            <w:tcW w:type="dxa" w:w="1893"/>
          </w:tcPr>
          <w:p>
            <w:pPr>
              <w:spacing w:after="0"/>
              <w:jc w:val="left"/>
            </w:pPr>
            <w:r>
              <w:rPr>
                <w:sz w:val="16"/>
              </w:rPr>
              <w:t>2.00 in+</w:t>
            </w:r>
          </w:p>
        </w:tc>
        <w:tc>
          <w:tcPr>
            <w:tcW w:type="dxa" w:w="1893"/>
          </w:tcPr>
          <w:p>
            <w:pPr>
              <w:spacing w:after="0"/>
              <w:jc w:val="left"/>
            </w:pPr>
            <w:r>
              <w:rPr>
                <w:sz w:val="16"/>
              </w:rPr>
              <w:t>1996 to 2025</w:t>
            </w:r>
          </w:p>
        </w:tc>
        <w:tc>
          <w:tcPr>
            <w:tcW w:type="dxa" w:w="1726"/>
          </w:tcPr>
          <w:p>
            <w:pPr>
              <w:spacing w:after="0"/>
              <w:jc w:val="right"/>
            </w:pPr>
            <w:r>
              <w:rPr>
                <w:sz w:val="16"/>
              </w:rPr>
              <w:t>5</w:t>
            </w:r>
          </w:p>
        </w:tc>
        <w:tc>
          <w:tcPr>
            <w:tcW w:type="dxa" w:w="1476"/>
          </w:tcPr>
          <w:p>
            <w:pPr>
              <w:spacing w:after="0"/>
              <w:jc w:val="right"/>
            </w:pPr>
            <w:r>
              <w:rPr>
                <w:sz w:val="16"/>
              </w:rPr>
              <w:t>30</w:t>
            </w:r>
          </w:p>
        </w:tc>
        <w:tc>
          <w:tcPr>
            <w:tcW w:type="dxa" w:w="1476"/>
          </w:tcPr>
          <w:p>
            <w:pPr>
              <w:spacing w:after="0"/>
              <w:jc w:val="right"/>
            </w:pPr>
            <w:r>
              <w:rPr>
                <w:sz w:val="16"/>
              </w:rPr>
              <w:t>0.167</w:t>
            </w:r>
          </w:p>
        </w:tc>
      </w:tr>
      <w:tr>
        <w:trPr>
          <w:cantSplit/>
        </w:trPr>
        <w:tc>
          <w:tcPr>
            <w:tcW w:type="dxa" w:w="5648"/>
          </w:tcPr>
          <w:p>
            <w:pPr>
              <w:spacing w:after="0"/>
              <w:jc w:val="left"/>
            </w:pPr>
            <w:r>
              <w:rPr>
                <w:sz w:val="16"/>
              </w:rPr>
              <w:t>Strong Wind (Thunderstorm Wind records)</w:t>
            </w:r>
          </w:p>
        </w:tc>
        <w:tc>
          <w:tcPr>
            <w:tcW w:type="dxa" w:w="1893"/>
          </w:tcPr>
          <w:p>
            <w:pPr>
              <w:spacing w:after="0"/>
              <w:jc w:val="left"/>
            </w:pPr>
            <w:r>
              <w:rPr>
                <w:sz w:val="16"/>
              </w:rPr>
              <w:t>50-64 kt</w:t>
            </w:r>
          </w:p>
        </w:tc>
        <w:tc>
          <w:tcPr>
            <w:tcW w:type="dxa" w:w="1893"/>
          </w:tcPr>
          <w:p>
            <w:pPr>
              <w:spacing w:after="0"/>
              <w:jc w:val="left"/>
            </w:pPr>
            <w:r>
              <w:rPr>
                <w:sz w:val="16"/>
              </w:rPr>
              <w:t>1996 to 2025</w:t>
            </w:r>
          </w:p>
        </w:tc>
        <w:tc>
          <w:tcPr>
            <w:tcW w:type="dxa" w:w="1726"/>
          </w:tcPr>
          <w:p>
            <w:pPr>
              <w:spacing w:after="0"/>
              <w:jc w:val="right"/>
            </w:pPr>
            <w:r>
              <w:rPr>
                <w:sz w:val="16"/>
              </w:rPr>
              <w:t>93</w:t>
            </w:r>
          </w:p>
        </w:tc>
        <w:tc>
          <w:tcPr>
            <w:tcW w:type="dxa" w:w="1476"/>
          </w:tcPr>
          <w:p>
            <w:pPr>
              <w:spacing w:after="0"/>
              <w:jc w:val="right"/>
            </w:pPr>
            <w:r>
              <w:rPr>
                <w:sz w:val="16"/>
              </w:rPr>
              <w:t>30</w:t>
            </w:r>
          </w:p>
        </w:tc>
        <w:tc>
          <w:tcPr>
            <w:tcW w:type="dxa" w:w="1476"/>
          </w:tcPr>
          <w:p>
            <w:pPr>
              <w:spacing w:after="0"/>
              <w:jc w:val="right"/>
            </w:pPr>
            <w:r>
              <w:rPr>
                <w:sz w:val="16"/>
              </w:rPr>
              <w:t>3.1</w:t>
            </w:r>
          </w:p>
        </w:tc>
      </w:tr>
      <w:tr>
        <w:trPr>
          <w:cantSplit/>
        </w:trPr>
        <w:tc>
          <w:tcPr>
            <w:tcW w:type="dxa" w:w="5648"/>
          </w:tcPr>
          <w:p>
            <w:pPr>
              <w:spacing w:after="0"/>
              <w:jc w:val="left"/>
            </w:pPr>
            <w:r>
              <w:rPr>
                <w:sz w:val="16"/>
              </w:rPr>
              <w:t>Strong Wind (Thunderstorm Wind records)</w:t>
            </w:r>
          </w:p>
        </w:tc>
        <w:tc>
          <w:tcPr>
            <w:tcW w:type="dxa" w:w="1893"/>
          </w:tcPr>
          <w:p>
            <w:pPr>
              <w:spacing w:after="0"/>
              <w:jc w:val="left"/>
            </w:pPr>
            <w:r>
              <w:rPr>
                <w:sz w:val="16"/>
              </w:rPr>
              <w:t>65 kt+</w:t>
            </w:r>
          </w:p>
        </w:tc>
        <w:tc>
          <w:tcPr>
            <w:tcW w:type="dxa" w:w="1893"/>
          </w:tcPr>
          <w:p>
            <w:pPr>
              <w:spacing w:after="0"/>
              <w:jc w:val="left"/>
            </w:pPr>
            <w:r>
              <w:rPr>
                <w:sz w:val="16"/>
              </w:rPr>
              <w:t>1996 to 2025</w:t>
            </w:r>
          </w:p>
        </w:tc>
        <w:tc>
          <w:tcPr>
            <w:tcW w:type="dxa" w:w="1726"/>
          </w:tcPr>
          <w:p>
            <w:pPr>
              <w:spacing w:after="0"/>
              <w:jc w:val="right"/>
            </w:pPr>
            <w:r>
              <w:rPr>
                <w:sz w:val="16"/>
              </w:rPr>
              <w:t>16</w:t>
            </w:r>
          </w:p>
        </w:tc>
        <w:tc>
          <w:tcPr>
            <w:tcW w:type="dxa" w:w="1476"/>
          </w:tcPr>
          <w:p>
            <w:pPr>
              <w:spacing w:after="0"/>
              <w:jc w:val="right"/>
            </w:pPr>
            <w:r>
              <w:rPr>
                <w:sz w:val="16"/>
              </w:rPr>
              <w:t>30</w:t>
            </w:r>
          </w:p>
        </w:tc>
        <w:tc>
          <w:tcPr>
            <w:tcW w:type="dxa" w:w="1476"/>
          </w:tcPr>
          <w:p>
            <w:pPr>
              <w:spacing w:after="0"/>
              <w:jc w:val="right"/>
            </w:pPr>
            <w:r>
              <w:rPr>
                <w:sz w:val="16"/>
              </w:rPr>
              <w:t>0.533</w:t>
            </w:r>
          </w:p>
        </w:tc>
      </w:tr>
      <w:tr>
        <w:trPr>
          <w:cantSplit/>
        </w:trPr>
        <w:tc>
          <w:tcPr>
            <w:tcW w:type="dxa" w:w="5648"/>
          </w:tcPr>
          <w:p>
            <w:pPr>
              <w:spacing w:after="0"/>
              <w:jc w:val="left"/>
            </w:pPr>
            <w:r>
              <w:rPr>
                <w:sz w:val="16"/>
              </w:rPr>
              <w:t>Strong Wind (Thunderstorm Wind records)</w:t>
            </w:r>
          </w:p>
        </w:tc>
        <w:tc>
          <w:tcPr>
            <w:tcW w:type="dxa" w:w="1893"/>
          </w:tcPr>
          <w:p>
            <w:pPr>
              <w:spacing w:after="0"/>
              <w:jc w:val="left"/>
            </w:pPr>
            <w:r>
              <w:rPr>
                <w:sz w:val="16"/>
              </w:rPr>
              <w:t>unmeasured or below 50 kt</w:t>
            </w:r>
          </w:p>
        </w:tc>
        <w:tc>
          <w:tcPr>
            <w:tcW w:type="dxa" w:w="1893"/>
          </w:tcPr>
          <w:p>
            <w:pPr>
              <w:spacing w:after="0"/>
              <w:jc w:val="left"/>
            </w:pPr>
            <w:r>
              <w:rPr>
                <w:sz w:val="16"/>
              </w:rPr>
              <w:t>1996 to 2025</w:t>
            </w:r>
          </w:p>
        </w:tc>
        <w:tc>
          <w:tcPr>
            <w:tcW w:type="dxa" w:w="1726"/>
          </w:tcPr>
          <w:p>
            <w:pPr>
              <w:spacing w:after="0"/>
              <w:jc w:val="right"/>
            </w:pPr>
            <w:r>
              <w:rPr>
                <w:sz w:val="16"/>
              </w:rPr>
              <w:t>3</w:t>
            </w:r>
          </w:p>
        </w:tc>
        <w:tc>
          <w:tcPr>
            <w:tcW w:type="dxa" w:w="1476"/>
          </w:tcPr>
          <w:p>
            <w:pPr>
              <w:spacing w:after="0"/>
              <w:jc w:val="right"/>
            </w:pPr>
            <w:r>
              <w:rPr>
                <w:sz w:val="16"/>
              </w:rPr>
              <w:t>30</w:t>
            </w:r>
          </w:p>
        </w:tc>
        <w:tc>
          <w:tcPr>
            <w:tcW w:type="dxa" w:w="1476"/>
          </w:tcPr>
          <w:p>
            <w:pPr>
              <w:spacing w:after="0"/>
              <w:jc w:val="right"/>
            </w:pPr>
            <w:r>
              <w:rPr>
                <w:sz w:val="16"/>
              </w:rPr>
              <w:t>0.1</w:t>
            </w:r>
          </w:p>
        </w:tc>
      </w:tr>
      <w:tr>
        <w:trPr>
          <w:cantSplit/>
        </w:trPr>
        <w:tc>
          <w:tcPr>
            <w:tcW w:type="dxa" w:w="5648"/>
          </w:tcPr>
          <w:p>
            <w:pPr>
              <w:spacing w:after="0"/>
              <w:jc w:val="left"/>
            </w:pPr>
            <w:r>
              <w:rPr>
                <w:sz w:val="16"/>
              </w:rPr>
              <w:t>Tornado</w:t>
            </w:r>
          </w:p>
        </w:tc>
        <w:tc>
          <w:tcPr>
            <w:tcW w:type="dxa" w:w="1893"/>
          </w:tcPr>
          <w:p>
            <w:pPr>
              <w:spacing w:after="0"/>
              <w:jc w:val="left"/>
            </w:pPr>
            <w:r>
              <w:rPr>
                <w:sz w:val="16"/>
              </w:rPr>
              <w:t>EF0-1</w:t>
            </w:r>
          </w:p>
        </w:tc>
        <w:tc>
          <w:tcPr>
            <w:tcW w:type="dxa" w:w="1893"/>
          </w:tcPr>
          <w:p>
            <w:pPr>
              <w:spacing w:after="0"/>
              <w:jc w:val="left"/>
            </w:pPr>
            <w:r>
              <w:rPr>
                <w:sz w:val="16"/>
              </w:rPr>
              <w:t>1996 to 2025</w:t>
            </w:r>
          </w:p>
        </w:tc>
        <w:tc>
          <w:tcPr>
            <w:tcW w:type="dxa" w:w="1726"/>
          </w:tcPr>
          <w:p>
            <w:pPr>
              <w:spacing w:after="0"/>
              <w:jc w:val="right"/>
            </w:pPr>
            <w:r>
              <w:rPr>
                <w:sz w:val="16"/>
              </w:rPr>
              <w:t>18</w:t>
            </w:r>
          </w:p>
        </w:tc>
        <w:tc>
          <w:tcPr>
            <w:tcW w:type="dxa" w:w="1476"/>
          </w:tcPr>
          <w:p>
            <w:pPr>
              <w:spacing w:after="0"/>
              <w:jc w:val="right"/>
            </w:pPr>
            <w:r>
              <w:rPr>
                <w:sz w:val="16"/>
              </w:rPr>
              <w:t>30</w:t>
            </w:r>
          </w:p>
        </w:tc>
        <w:tc>
          <w:tcPr>
            <w:tcW w:type="dxa" w:w="1476"/>
          </w:tcPr>
          <w:p>
            <w:pPr>
              <w:spacing w:after="0"/>
              <w:jc w:val="right"/>
            </w:pPr>
            <w:r>
              <w:rPr>
                <w:sz w:val="16"/>
              </w:rPr>
              <w:t>0.6</w:t>
            </w:r>
          </w:p>
        </w:tc>
      </w:tr>
      <w:tr>
        <w:trPr>
          <w:cantSplit/>
        </w:trPr>
        <w:tc>
          <w:tcPr>
            <w:tcW w:type="dxa" w:w="5648"/>
          </w:tcPr>
          <w:p>
            <w:pPr>
              <w:spacing w:after="0"/>
              <w:jc w:val="left"/>
            </w:pPr>
            <w:r>
              <w:rPr>
                <w:sz w:val="16"/>
              </w:rPr>
              <w:t>Tornado</w:t>
            </w:r>
          </w:p>
        </w:tc>
        <w:tc>
          <w:tcPr>
            <w:tcW w:type="dxa" w:w="1893"/>
          </w:tcPr>
          <w:p>
            <w:pPr>
              <w:spacing w:after="0"/>
              <w:jc w:val="left"/>
            </w:pPr>
            <w:r>
              <w:rPr>
                <w:sz w:val="16"/>
              </w:rPr>
              <w:t>EF2-3</w:t>
            </w:r>
          </w:p>
        </w:tc>
        <w:tc>
          <w:tcPr>
            <w:tcW w:type="dxa" w:w="1893"/>
          </w:tcPr>
          <w:p>
            <w:pPr>
              <w:spacing w:after="0"/>
              <w:jc w:val="left"/>
            </w:pPr>
            <w:r>
              <w:rPr>
                <w:sz w:val="16"/>
              </w:rPr>
              <w:t>1996 to 2025</w:t>
            </w:r>
          </w:p>
        </w:tc>
        <w:tc>
          <w:tcPr>
            <w:tcW w:type="dxa" w:w="1726"/>
          </w:tcPr>
          <w:p>
            <w:pPr>
              <w:spacing w:after="0"/>
              <w:jc w:val="right"/>
            </w:pPr>
            <w:r>
              <w:rPr>
                <w:sz w:val="16"/>
              </w:rPr>
              <w:t>5</w:t>
            </w:r>
          </w:p>
        </w:tc>
        <w:tc>
          <w:tcPr>
            <w:tcW w:type="dxa" w:w="1476"/>
          </w:tcPr>
          <w:p>
            <w:pPr>
              <w:spacing w:after="0"/>
              <w:jc w:val="right"/>
            </w:pPr>
            <w:r>
              <w:rPr>
                <w:sz w:val="16"/>
              </w:rPr>
              <w:t>30</w:t>
            </w:r>
          </w:p>
        </w:tc>
        <w:tc>
          <w:tcPr>
            <w:tcW w:type="dxa" w:w="1476"/>
          </w:tcPr>
          <w:p>
            <w:pPr>
              <w:spacing w:after="0"/>
              <w:jc w:val="right"/>
            </w:pPr>
            <w:r>
              <w:rPr>
                <w:sz w:val="16"/>
              </w:rPr>
              <w:t>0.167</w:t>
            </w:r>
          </w:p>
        </w:tc>
      </w:tr>
      <w:tr>
        <w:trPr>
          <w:cantSplit/>
        </w:trPr>
        <w:tc>
          <w:tcPr>
            <w:tcW w:type="dxa" w:w="5648"/>
          </w:tcPr>
          <w:p>
            <w:pPr>
              <w:spacing w:after="0"/>
              <w:jc w:val="left"/>
            </w:pPr>
            <w:r>
              <w:rPr>
                <w:sz w:val="16"/>
              </w:rPr>
              <w:t>Tornado</w:t>
            </w:r>
          </w:p>
        </w:tc>
        <w:tc>
          <w:tcPr>
            <w:tcW w:type="dxa" w:w="1893"/>
          </w:tcPr>
          <w:p>
            <w:pPr>
              <w:spacing w:after="0"/>
              <w:jc w:val="left"/>
            </w:pPr>
            <w:r>
              <w:rPr>
                <w:sz w:val="16"/>
              </w:rPr>
              <w:t>EF4-5</w:t>
            </w:r>
          </w:p>
        </w:tc>
        <w:tc>
          <w:tcPr>
            <w:tcW w:type="dxa" w:w="1893"/>
          </w:tcPr>
          <w:p>
            <w:pPr>
              <w:spacing w:after="0"/>
              <w:jc w:val="left"/>
            </w:pPr>
            <w:r>
              <w:rPr>
                <w:sz w:val="16"/>
              </w:rPr>
              <w:t>1996 to 2025</w:t>
            </w:r>
          </w:p>
        </w:tc>
        <w:tc>
          <w:tcPr>
            <w:tcW w:type="dxa" w:w="1726"/>
          </w:tcPr>
          <w:p>
            <w:pPr>
              <w:spacing w:after="0"/>
              <w:jc w:val="right"/>
            </w:pPr>
            <w:r>
              <w:rPr>
                <w:sz w:val="16"/>
              </w:rPr>
              <w:t>0</w:t>
            </w:r>
          </w:p>
        </w:tc>
        <w:tc>
          <w:tcPr>
            <w:tcW w:type="dxa" w:w="1476"/>
          </w:tcPr>
          <w:p>
            <w:pPr>
              <w:spacing w:after="0"/>
              <w:jc w:val="right"/>
            </w:pPr>
            <w:r>
              <w:rPr>
                <w:sz w:val="16"/>
              </w:rPr>
              <w:t>30</w:t>
            </w:r>
          </w:p>
        </w:tc>
        <w:tc>
          <w:tcPr>
            <w:tcW w:type="dxa" w:w="1476"/>
          </w:tcPr>
          <w:p>
            <w:pPr>
              <w:spacing w:after="0"/>
              <w:jc w:val="right"/>
            </w:pPr>
            <w:r>
              <w:rPr>
                <w:sz w:val="16"/>
              </w:rPr>
              <w:t>0</w:t>
            </w:r>
          </w:p>
        </w:tc>
      </w:tr>
      <w:tr>
        <w:trPr>
          <w:cantSplit/>
        </w:trPr>
        <w:tc>
          <w:tcPr>
            <w:tcW w:type="dxa" w:w="5648"/>
          </w:tcPr>
          <w:p>
            <w:pPr>
              <w:spacing w:after="0"/>
              <w:jc w:val="left"/>
            </w:pPr>
            <w:r>
              <w:rPr>
                <w:sz w:val="16"/>
              </w:rPr>
              <w:t>Tornado</w:t>
            </w:r>
          </w:p>
        </w:tc>
        <w:tc>
          <w:tcPr>
            <w:tcW w:type="dxa" w:w="1893"/>
          </w:tcPr>
          <w:p>
            <w:pPr>
              <w:spacing w:after="0"/>
              <w:jc w:val="left"/>
            </w:pPr>
            <w:r>
              <w:rPr>
                <w:sz w:val="16"/>
              </w:rPr>
              <w:t>unrated (EFU)</w:t>
            </w:r>
          </w:p>
        </w:tc>
        <w:tc>
          <w:tcPr>
            <w:tcW w:type="dxa" w:w="1893"/>
          </w:tcPr>
          <w:p>
            <w:pPr>
              <w:spacing w:after="0"/>
              <w:jc w:val="left"/>
            </w:pPr>
            <w:r>
              <w:rPr>
                <w:sz w:val="16"/>
              </w:rPr>
              <w:t>1996 to 2025</w:t>
            </w:r>
          </w:p>
        </w:tc>
        <w:tc>
          <w:tcPr>
            <w:tcW w:type="dxa" w:w="1726"/>
          </w:tcPr>
          <w:p>
            <w:pPr>
              <w:spacing w:after="0"/>
              <w:jc w:val="right"/>
            </w:pPr>
            <w:r>
              <w:rPr>
                <w:sz w:val="16"/>
              </w:rPr>
              <w:t>0</w:t>
            </w:r>
          </w:p>
        </w:tc>
        <w:tc>
          <w:tcPr>
            <w:tcW w:type="dxa" w:w="1476"/>
          </w:tcPr>
          <w:p>
            <w:pPr>
              <w:spacing w:after="0"/>
              <w:jc w:val="right"/>
            </w:pPr>
            <w:r>
              <w:rPr>
                <w:sz w:val="16"/>
              </w:rPr>
              <w:t>30</w:t>
            </w:r>
          </w:p>
        </w:tc>
        <w:tc>
          <w:tcPr>
            <w:tcW w:type="dxa" w:w="1476"/>
          </w:tcPr>
          <w:p>
            <w:pPr>
              <w:spacing w:after="0"/>
              <w:jc w:val="right"/>
            </w:pPr>
            <w:r>
              <w:rPr>
                <w:sz w:val="16"/>
              </w:rPr>
              <w:t>0</w:t>
            </w:r>
          </w:p>
        </w:tc>
      </w:tr>
    </w:tbl>
    <w:p>
      <w:pPr>
        <w:spacing w:after="40" w:before="60"/>
      </w:pPr>
      <w:r>
        <w:rPr>
          <w:sz w:val="15"/>
        </w:rPr>
        <w:t>Hail smaller than 1 inch is not counted: on 2010-01-05 the National Weather Service raised its severe-hail threshold from 3/4 inch to 1 inch, so smaller reports became less common after 2009 (NWS Service Change Notice 09-52). NRI hail frequency uses a 0.75 inch threshold.</w:t>
      </w:r>
    </w:p>
    <w:p>
      <w:pPr>
        <w:spacing w:after="20" w:before="0"/>
      </w:pPr>
      <w:r>
        <w:rPr>
          <w:b/>
          <w:color w:val="555555"/>
          <w:sz w:val="15"/>
        </w:rPr>
        <w:t xml:space="preserve">Source: </w:t>
      </w:r>
      <w:r>
        <w:rPr>
          <w:color w:val="555555"/>
          <w:sz w:val="15"/>
        </w:rPr>
        <w:t xml:space="preserve">NOAA NCEI, NOAA NCEI Storm Events Database, details files (csvfiles v1.0), version c20260918, pulled 2026-09-28, </w:t>
      </w:r>
      <w:hyperlink r:id="rId15">
        <w:r>
          <w:rPr>
            <w:color w:val="1F4E99"/>
            <w:sz w:val="15"/>
            <w:u w:val="single"/>
          </w:rPr>
          <w:t>https://www.ncei.noaa.gov/pub/data/swdi/stormevents/csvfiles/</w:t>
        </w:r>
      </w:hyperlink>
    </w:p>
    <w:p>
      <w:pPr>
        <w:spacing w:after="80" w:before="0"/>
      </w:pPr>
    </w:p>
    <w:p>
      <w:pPr>
        <w:spacing w:after="60" w:before="0"/>
      </w:pPr>
      <w:r>
        <w:rPr>
          <w:color w:val="555555"/>
          <w:sz w:val="17"/>
        </w:rPr>
        <w:t>Optional: future conditions. Not a required item in the 2025 FEMA Local Mitigation Planning Policy Guide; some states ask for it. The federal Climate Mapping for Resilience and Adaptation (CMRA) site gives county exposure to future climate conditions.</w:t>
      </w:r>
    </w:p>
    <w:p>
      <w:pPr>
        <w:pStyle w:val="Heading2"/>
        <w:keepNext/>
        <w:spacing w:after="80"/>
      </w:pPr>
      <w:r>
        <w:rPr/>
        <w:t>Supports B1-f: variation across the planning area</w:t>
      </w:r>
    </w:p>
    <w:p>
      <w:pPr>
        <w:pStyle w:val="Heading3"/>
        <w:keepNext/>
        <w:spacing w:after="80"/>
      </w:pPr>
      <w:r>
        <w:rPr/>
        <w:t>Range of census tract risk within the county</w:t>
      </w:r>
    </w:p>
    <w:tbl>
      <w:tblPr>
        <w:tblW w:type="auto" w:w="0"/>
        <w:jc w:val="left"/>
        <w:tblBorders>
          <w:top w:val="single" w:sz="4" w:space="0" w:color="808080"/>
          <w:left w:val="single" w:sz="4" w:space="0" w:color="808080"/>
          <w:bottom w:val="single" w:sz="4" w:space="0" w:color="808080"/>
          <w:right w:val="single" w:sz="4" w:space="0" w:color="808080"/>
          <w:insideH w:val="single" w:sz="4" w:space="0" w:color="808080"/>
          <w:insideV w:val="single" w:sz="4" w:space="0" w:color="808080"/>
        </w:tblBorders>
        <w:tblLayout w:type="fixed"/>
        <w:tblCellMar>
          <w:top w:w="15" w:type="dxa"/>
          <w:left w:w="60" w:type="dxa"/>
          <w:bottom w:w="15" w:type="dxa"/>
          <w:right w:w="60" w:type="dxa"/>
        </w:tblCellMar>
        <w:tblLook w:firstColumn="1" w:firstRow="1" w:lastColumn="0" w:lastRow="0" w:noHBand="0" w:noVBand="1" w:val="04A0"/>
        <w:tblCaption w:val="Range of census tract risk within the county"/>
        <w:tblDescription w:val="Hazard Plain table b1f_tracts"/>
      </w:tblPr>
      <w:tblGrid>
        <w:gridCol w:w="1037"/>
        <w:gridCol w:w="844"/>
        <w:gridCol w:w="874"/>
        <w:gridCol w:w="680"/>
        <w:gridCol w:w="648"/>
        <w:gridCol w:w="3577"/>
        <w:gridCol w:w="6453"/>
      </w:tblGrid>
      <w:tr>
        <w:trPr>
          <w:cantSplit/>
          <w:tblHeader/>
        </w:trPr>
        <w:tc>
          <w:tcPr>
            <w:tcW w:type="dxa" w:w="1037"/>
            <w:shd w:val="clear" w:color="auto" w:fill="E8E8E8"/>
          </w:tcPr>
          <w:p>
            <w:pPr>
              <w:spacing w:after="0"/>
              <w:jc w:val="left"/>
            </w:pPr>
            <w:r>
              <w:rPr>
                <w:b/>
                <w:sz w:val="16"/>
              </w:rPr>
              <w:t>Hazard</w:t>
            </w:r>
          </w:p>
        </w:tc>
        <w:tc>
          <w:tcPr>
            <w:tcW w:type="dxa" w:w="844"/>
            <w:shd w:val="clear" w:color="auto" w:fill="E8E8E8"/>
          </w:tcPr>
          <w:p>
            <w:pPr>
              <w:spacing w:after="0"/>
              <w:jc w:val="right"/>
            </w:pPr>
            <w:r>
              <w:rPr>
                <w:b/>
                <w:sz w:val="16"/>
              </w:rPr>
              <w:t>Tracts</w:t>
            </w:r>
          </w:p>
          <w:p>
            <w:pPr>
              <w:spacing w:after="0"/>
              <w:jc w:val="right"/>
            </w:pPr>
            <w:r>
              <w:rPr>
                <w:i/>
                <w:color w:val="555555"/>
                <w:sz w:val="14"/>
              </w:rPr>
              <w:t>rated of all</w:t>
            </w:r>
          </w:p>
        </w:tc>
        <w:tc>
          <w:tcPr>
            <w:tcW w:type="dxa" w:w="874"/>
            <w:shd w:val="clear" w:color="auto" w:fill="E8E8E8"/>
          </w:tcPr>
          <w:p>
            <w:pPr>
              <w:spacing w:after="0"/>
              <w:jc w:val="right"/>
            </w:pPr>
            <w:r>
              <w:rPr>
                <w:b/>
                <w:sz w:val="16"/>
              </w:rPr>
              <w:t>Risk score min</w:t>
            </w:r>
          </w:p>
          <w:p>
            <w:pPr>
              <w:spacing w:after="0"/>
              <w:jc w:val="right"/>
            </w:pPr>
            <w:r>
              <w:rPr>
                <w:i/>
                <w:color w:val="555555"/>
                <w:sz w:val="14"/>
              </w:rPr>
              <w:t>NRI score, 0 to 100</w:t>
            </w:r>
          </w:p>
        </w:tc>
        <w:tc>
          <w:tcPr>
            <w:tcW w:type="dxa" w:w="680"/>
            <w:shd w:val="clear" w:color="auto" w:fill="E8E8E8"/>
          </w:tcPr>
          <w:p>
            <w:pPr>
              <w:spacing w:after="0"/>
              <w:jc w:val="right"/>
            </w:pPr>
            <w:r>
              <w:rPr>
                <w:b/>
                <w:sz w:val="16"/>
              </w:rPr>
              <w:t>Median</w:t>
            </w:r>
          </w:p>
        </w:tc>
        <w:tc>
          <w:tcPr>
            <w:tcW w:type="dxa" w:w="648"/>
            <w:shd w:val="clear" w:color="auto" w:fill="E8E8E8"/>
          </w:tcPr>
          <w:p>
            <w:pPr>
              <w:spacing w:after="0"/>
              <w:jc w:val="right"/>
            </w:pPr>
            <w:r>
              <w:rPr>
                <w:b/>
                <w:sz w:val="16"/>
              </w:rPr>
              <w:t>Max</w:t>
            </w:r>
          </w:p>
        </w:tc>
        <w:tc>
          <w:tcPr>
            <w:tcW w:type="dxa" w:w="3577"/>
            <w:shd w:val="clear" w:color="auto" w:fill="E8E8E8"/>
          </w:tcPr>
          <w:p>
            <w:pPr>
              <w:spacing w:after="0"/>
              <w:jc w:val="left"/>
            </w:pPr>
            <w:r>
              <w:rPr>
                <w:b/>
                <w:sz w:val="16"/>
              </w:rPr>
              <w:t>Tracts by rating</w:t>
            </w:r>
          </w:p>
        </w:tc>
        <w:tc>
          <w:tcPr>
            <w:tcW w:type="dxa" w:w="6453"/>
            <w:shd w:val="clear" w:color="auto" w:fill="E8E8E8"/>
          </w:tcPr>
          <w:p>
            <w:pPr>
              <w:spacing w:after="0"/>
              <w:jc w:val="left"/>
            </w:pPr>
            <w:r>
              <w:rPr>
                <w:b/>
                <w:sz w:val="16"/>
              </w:rPr>
              <w:t>Note</w:t>
            </w:r>
          </w:p>
        </w:tc>
      </w:tr>
      <w:tr>
        <w:trPr>
          <w:cantSplit/>
        </w:trPr>
        <w:tc>
          <w:tcPr>
            <w:tcW w:type="dxa" w:w="1037"/>
          </w:tcPr>
          <w:p>
            <w:pPr>
              <w:spacing w:after="0"/>
              <w:jc w:val="left"/>
            </w:pPr>
            <w:r>
              <w:rPr>
                <w:sz w:val="16"/>
              </w:rPr>
              <w:t>Avalanche</w:t>
            </w:r>
          </w:p>
        </w:tc>
        <w:tc>
          <w:tcPr>
            <w:tcW w:type="dxa" w:w="844"/>
          </w:tcPr>
          <w:p>
            <w:pPr>
              <w:spacing w:after="0"/>
              <w:jc w:val="right"/>
            </w:pPr>
            <w:r>
              <w:rPr>
                <w:sz w:val="16"/>
              </w:rPr>
              <w:t>0 of 16</w:t>
            </w:r>
          </w:p>
        </w:tc>
        <w:tc>
          <w:tcPr>
            <w:tcW w:type="dxa" w:w="874"/>
          </w:tcPr>
          <w:p>
            <w:pPr>
              <w:spacing w:after="0"/>
              <w:jc w:val="right"/>
            </w:pPr>
          </w:p>
        </w:tc>
        <w:tc>
          <w:tcPr>
            <w:tcW w:type="dxa" w:w="680"/>
          </w:tcPr>
          <w:p>
            <w:pPr>
              <w:spacing w:after="0"/>
              <w:jc w:val="right"/>
            </w:pPr>
          </w:p>
        </w:tc>
        <w:tc>
          <w:tcPr>
            <w:tcW w:type="dxa" w:w="648"/>
          </w:tcPr>
          <w:p>
            <w:pPr>
              <w:spacing w:after="0"/>
              <w:jc w:val="right"/>
            </w:pPr>
          </w:p>
        </w:tc>
        <w:tc>
          <w:tcPr>
            <w:tcW w:type="dxa" w:w="3577"/>
          </w:tcPr>
          <w:p>
            <w:pPr>
              <w:spacing w:after="0"/>
              <w:jc w:val="left"/>
            </w:pPr>
            <w:r>
              <w:rPr>
                <w:sz w:val="16"/>
              </w:rPr>
              <w:t>Not Applicable 16</w:t>
            </w:r>
          </w:p>
        </w:tc>
        <w:tc>
          <w:tcPr>
            <w:tcW w:type="dxa" w:w="6453"/>
          </w:tcPr>
          <w:p>
            <w:pPr>
              <w:spacing w:after="0"/>
              <w:jc w:val="left"/>
            </w:pPr>
          </w:p>
        </w:tc>
      </w:tr>
      <w:tr>
        <w:trPr>
          <w:cantSplit/>
        </w:trPr>
        <w:tc>
          <w:tcPr>
            <w:tcW w:type="dxa" w:w="1037"/>
          </w:tcPr>
          <w:p>
            <w:pPr>
              <w:spacing w:after="0"/>
              <w:jc w:val="left"/>
            </w:pPr>
            <w:r>
              <w:rPr>
                <w:sz w:val="16"/>
              </w:rPr>
              <w:t>Coastal Flooding</w:t>
            </w:r>
          </w:p>
        </w:tc>
        <w:tc>
          <w:tcPr>
            <w:tcW w:type="dxa" w:w="844"/>
          </w:tcPr>
          <w:p>
            <w:pPr>
              <w:spacing w:after="0"/>
              <w:jc w:val="right"/>
            </w:pPr>
            <w:r>
              <w:rPr>
                <w:sz w:val="16"/>
              </w:rPr>
              <w:t>0 of 16</w:t>
            </w:r>
          </w:p>
        </w:tc>
        <w:tc>
          <w:tcPr>
            <w:tcW w:type="dxa" w:w="874"/>
          </w:tcPr>
          <w:p>
            <w:pPr>
              <w:spacing w:after="0"/>
              <w:jc w:val="right"/>
            </w:pPr>
          </w:p>
        </w:tc>
        <w:tc>
          <w:tcPr>
            <w:tcW w:type="dxa" w:w="680"/>
          </w:tcPr>
          <w:p>
            <w:pPr>
              <w:spacing w:after="0"/>
              <w:jc w:val="right"/>
            </w:pPr>
          </w:p>
        </w:tc>
        <w:tc>
          <w:tcPr>
            <w:tcW w:type="dxa" w:w="648"/>
          </w:tcPr>
          <w:p>
            <w:pPr>
              <w:spacing w:after="0"/>
              <w:jc w:val="right"/>
            </w:pPr>
          </w:p>
        </w:tc>
        <w:tc>
          <w:tcPr>
            <w:tcW w:type="dxa" w:w="3577"/>
          </w:tcPr>
          <w:p>
            <w:pPr>
              <w:spacing w:after="0"/>
              <w:jc w:val="left"/>
            </w:pPr>
            <w:r>
              <w:rPr>
                <w:sz w:val="16"/>
              </w:rPr>
              <w:t>Not Applicable 16</w:t>
            </w:r>
          </w:p>
        </w:tc>
        <w:tc>
          <w:tcPr>
            <w:tcW w:type="dxa" w:w="6453"/>
          </w:tcPr>
          <w:p>
            <w:pPr>
              <w:spacing w:after="0"/>
              <w:jc w:val="left"/>
            </w:pPr>
          </w:p>
        </w:tc>
      </w:tr>
      <w:tr>
        <w:trPr>
          <w:cantSplit/>
        </w:trPr>
        <w:tc>
          <w:tcPr>
            <w:tcW w:type="dxa" w:w="1037"/>
          </w:tcPr>
          <w:p>
            <w:pPr>
              <w:spacing w:after="0"/>
              <w:jc w:val="left"/>
            </w:pPr>
            <w:r>
              <w:rPr>
                <w:sz w:val="16"/>
              </w:rPr>
              <w:t>Cold Wave</w:t>
            </w:r>
          </w:p>
        </w:tc>
        <w:tc>
          <w:tcPr>
            <w:tcW w:type="dxa" w:w="844"/>
          </w:tcPr>
          <w:p>
            <w:pPr>
              <w:spacing w:after="0"/>
              <w:jc w:val="right"/>
            </w:pPr>
            <w:r>
              <w:rPr>
                <w:sz w:val="16"/>
              </w:rPr>
              <w:t>16 of 16</w:t>
            </w:r>
          </w:p>
        </w:tc>
        <w:tc>
          <w:tcPr>
            <w:tcW w:type="dxa" w:w="874"/>
          </w:tcPr>
          <w:p>
            <w:pPr>
              <w:spacing w:after="0"/>
              <w:jc w:val="right"/>
            </w:pPr>
            <w:r>
              <w:rPr>
                <w:sz w:val="16"/>
              </w:rPr>
              <w:t>35.5</w:t>
            </w:r>
          </w:p>
        </w:tc>
        <w:tc>
          <w:tcPr>
            <w:tcW w:type="dxa" w:w="680"/>
          </w:tcPr>
          <w:p>
            <w:pPr>
              <w:spacing w:after="0"/>
              <w:jc w:val="right"/>
            </w:pPr>
            <w:r>
              <w:rPr>
                <w:sz w:val="16"/>
              </w:rPr>
              <w:t>46.4</w:t>
            </w:r>
          </w:p>
        </w:tc>
        <w:tc>
          <w:tcPr>
            <w:tcW w:type="dxa" w:w="648"/>
          </w:tcPr>
          <w:p>
            <w:pPr>
              <w:spacing w:after="0"/>
              <w:jc w:val="right"/>
            </w:pPr>
            <w:r>
              <w:rPr>
                <w:sz w:val="16"/>
              </w:rPr>
              <w:t>58.9</w:t>
            </w:r>
          </w:p>
        </w:tc>
        <w:tc>
          <w:tcPr>
            <w:tcW w:type="dxa" w:w="3577"/>
          </w:tcPr>
          <w:p>
            <w:pPr>
              <w:spacing w:after="0"/>
              <w:jc w:val="left"/>
            </w:pPr>
            <w:r>
              <w:rPr>
                <w:sz w:val="16"/>
              </w:rPr>
              <w:t>Relatively Moderate 7, Relatively Low 9</w:t>
            </w:r>
          </w:p>
        </w:tc>
        <w:tc>
          <w:tcPr>
            <w:tcW w:type="dxa" w:w="6453"/>
          </w:tcPr>
          <w:p>
            <w:pPr>
              <w:spacing w:after="0"/>
              <w:jc w:val="left"/>
            </w:pPr>
            <w:r>
              <w:rPr>
                <w:sz w:val="16"/>
              </w:rPr>
              <w:t>National data give a county-wide or coarse (49 km grid or NWS zone) frequency for this hazard, so they cannot show members' hazard differing. The tract range above mostly reflects where buildings and people are. Confirm locally.</w:t>
            </w:r>
          </w:p>
        </w:tc>
      </w:tr>
      <w:tr>
        <w:trPr>
          <w:cantSplit/>
        </w:trPr>
        <w:tc>
          <w:tcPr>
            <w:tcW w:type="dxa" w:w="1037"/>
          </w:tcPr>
          <w:p>
            <w:pPr>
              <w:spacing w:after="0"/>
              <w:jc w:val="left"/>
            </w:pPr>
            <w:r>
              <w:rPr>
                <w:sz w:val="16"/>
              </w:rPr>
              <w:t>Drought</w:t>
            </w:r>
          </w:p>
        </w:tc>
        <w:tc>
          <w:tcPr>
            <w:tcW w:type="dxa" w:w="844"/>
          </w:tcPr>
          <w:p>
            <w:pPr>
              <w:spacing w:after="0"/>
              <w:jc w:val="right"/>
            </w:pPr>
            <w:r>
              <w:rPr>
                <w:sz w:val="16"/>
              </w:rPr>
              <w:t>15 of 16</w:t>
            </w:r>
          </w:p>
        </w:tc>
        <w:tc>
          <w:tcPr>
            <w:tcW w:type="dxa" w:w="874"/>
          </w:tcPr>
          <w:p>
            <w:pPr>
              <w:spacing w:after="0"/>
              <w:jc w:val="right"/>
            </w:pPr>
            <w:r>
              <w:rPr>
                <w:sz w:val="16"/>
              </w:rPr>
              <w:t>71.1</w:t>
            </w:r>
          </w:p>
        </w:tc>
        <w:tc>
          <w:tcPr>
            <w:tcW w:type="dxa" w:w="680"/>
          </w:tcPr>
          <w:p>
            <w:pPr>
              <w:spacing w:after="0"/>
              <w:jc w:val="right"/>
            </w:pPr>
            <w:r>
              <w:rPr>
                <w:sz w:val="16"/>
              </w:rPr>
              <w:t>77.6</w:t>
            </w:r>
          </w:p>
        </w:tc>
        <w:tc>
          <w:tcPr>
            <w:tcW w:type="dxa" w:w="648"/>
          </w:tcPr>
          <w:p>
            <w:pPr>
              <w:spacing w:after="0"/>
              <w:jc w:val="right"/>
            </w:pPr>
            <w:r>
              <w:rPr>
                <w:sz w:val="16"/>
              </w:rPr>
              <w:t>94.5</w:t>
            </w:r>
          </w:p>
        </w:tc>
        <w:tc>
          <w:tcPr>
            <w:tcW w:type="dxa" w:w="3577"/>
          </w:tcPr>
          <w:p>
            <w:pPr>
              <w:spacing w:after="0"/>
              <w:jc w:val="left"/>
            </w:pPr>
            <w:r>
              <w:rPr>
                <w:sz w:val="16"/>
              </w:rPr>
              <w:t>Relatively Moderate 1, Relatively Low 6, Very Low 8, No Rating 1</w:t>
            </w:r>
          </w:p>
        </w:tc>
        <w:tc>
          <w:tcPr>
            <w:tcW w:type="dxa" w:w="6453"/>
          </w:tcPr>
          <w:p>
            <w:pPr>
              <w:spacing w:after="0"/>
              <w:jc w:val="left"/>
            </w:pPr>
            <w:r>
              <w:rPr>
                <w:sz w:val="16"/>
              </w:rPr>
              <w:t>National data give a county-wide or coarse (49 km grid or NWS zone) frequency for this hazard, so they cannot show members' hazard differing. Agriculture is all of NRI's expected annual loss for this hazard in the county, so the tract range above mostly reflects where crop and livestock value is, not where buildings and people are. Confirm locally.</w:t>
            </w:r>
          </w:p>
        </w:tc>
      </w:tr>
      <w:tr>
        <w:trPr>
          <w:cantSplit/>
        </w:trPr>
        <w:tc>
          <w:tcPr>
            <w:tcW w:type="dxa" w:w="1037"/>
          </w:tcPr>
          <w:p>
            <w:pPr>
              <w:spacing w:after="0"/>
              <w:jc w:val="left"/>
            </w:pPr>
            <w:r>
              <w:rPr>
                <w:sz w:val="16"/>
              </w:rPr>
              <w:t>Earthquake</w:t>
            </w:r>
          </w:p>
        </w:tc>
        <w:tc>
          <w:tcPr>
            <w:tcW w:type="dxa" w:w="844"/>
          </w:tcPr>
          <w:p>
            <w:pPr>
              <w:spacing w:after="0"/>
              <w:jc w:val="right"/>
            </w:pPr>
            <w:r>
              <w:rPr>
                <w:sz w:val="16"/>
              </w:rPr>
              <w:t>16 of 16</w:t>
            </w:r>
          </w:p>
        </w:tc>
        <w:tc>
          <w:tcPr>
            <w:tcW w:type="dxa" w:w="874"/>
          </w:tcPr>
          <w:p>
            <w:pPr>
              <w:spacing w:after="0"/>
              <w:jc w:val="right"/>
            </w:pPr>
            <w:r>
              <w:rPr>
                <w:sz w:val="16"/>
              </w:rPr>
              <w:t>77.7</w:t>
            </w:r>
          </w:p>
        </w:tc>
        <w:tc>
          <w:tcPr>
            <w:tcW w:type="dxa" w:w="680"/>
          </w:tcPr>
          <w:p>
            <w:pPr>
              <w:spacing w:after="0"/>
              <w:jc w:val="right"/>
            </w:pPr>
            <w:r>
              <w:rPr>
                <w:sz w:val="16"/>
              </w:rPr>
              <w:t>83.9</w:t>
            </w:r>
          </w:p>
        </w:tc>
        <w:tc>
          <w:tcPr>
            <w:tcW w:type="dxa" w:w="648"/>
          </w:tcPr>
          <w:p>
            <w:pPr>
              <w:spacing w:after="0"/>
              <w:jc w:val="right"/>
            </w:pPr>
            <w:r>
              <w:rPr>
                <w:sz w:val="16"/>
              </w:rPr>
              <w:t>87.6</w:t>
            </w:r>
          </w:p>
        </w:tc>
        <w:tc>
          <w:tcPr>
            <w:tcW w:type="dxa" w:w="3577"/>
          </w:tcPr>
          <w:p>
            <w:pPr>
              <w:spacing w:after="0"/>
              <w:jc w:val="left"/>
            </w:pPr>
            <w:r>
              <w:rPr>
                <w:sz w:val="16"/>
              </w:rPr>
              <w:t>Relatively Moderate 15, Relatively Low 1</w:t>
            </w:r>
          </w:p>
        </w:tc>
        <w:tc>
          <w:tcPr>
            <w:tcW w:type="dxa" w:w="6453"/>
          </w:tcPr>
          <w:p>
            <w:pPr>
              <w:spacing w:after="0"/>
              <w:jc w:val="left"/>
            </w:pPr>
          </w:p>
        </w:tc>
      </w:tr>
      <w:tr>
        <w:trPr>
          <w:cantSplit/>
        </w:trPr>
        <w:tc>
          <w:tcPr>
            <w:tcW w:type="dxa" w:w="1037"/>
          </w:tcPr>
          <w:p>
            <w:pPr>
              <w:spacing w:after="0"/>
              <w:jc w:val="left"/>
            </w:pPr>
            <w:r>
              <w:rPr>
                <w:sz w:val="16"/>
              </w:rPr>
              <w:t>Hail</w:t>
            </w:r>
          </w:p>
        </w:tc>
        <w:tc>
          <w:tcPr>
            <w:tcW w:type="dxa" w:w="844"/>
          </w:tcPr>
          <w:p>
            <w:pPr>
              <w:spacing w:after="0"/>
              <w:jc w:val="right"/>
            </w:pPr>
            <w:r>
              <w:rPr>
                <w:sz w:val="16"/>
              </w:rPr>
              <w:t>16 of 16</w:t>
            </w:r>
          </w:p>
        </w:tc>
        <w:tc>
          <w:tcPr>
            <w:tcW w:type="dxa" w:w="874"/>
          </w:tcPr>
          <w:p>
            <w:pPr>
              <w:spacing w:after="0"/>
              <w:jc w:val="right"/>
            </w:pPr>
            <w:r>
              <w:rPr>
                <w:sz w:val="16"/>
              </w:rPr>
              <w:t>53.3</w:t>
            </w:r>
          </w:p>
        </w:tc>
        <w:tc>
          <w:tcPr>
            <w:tcW w:type="dxa" w:w="680"/>
          </w:tcPr>
          <w:p>
            <w:pPr>
              <w:spacing w:after="0"/>
              <w:jc w:val="right"/>
            </w:pPr>
            <w:r>
              <w:rPr>
                <w:sz w:val="16"/>
              </w:rPr>
              <w:t>69.5</w:t>
            </w:r>
          </w:p>
        </w:tc>
        <w:tc>
          <w:tcPr>
            <w:tcW w:type="dxa" w:w="648"/>
          </w:tcPr>
          <w:p>
            <w:pPr>
              <w:spacing w:after="0"/>
              <w:jc w:val="right"/>
            </w:pPr>
            <w:r>
              <w:rPr>
                <w:sz w:val="16"/>
              </w:rPr>
              <w:t>75.4</w:t>
            </w:r>
          </w:p>
        </w:tc>
        <w:tc>
          <w:tcPr>
            <w:tcW w:type="dxa" w:w="3577"/>
          </w:tcPr>
          <w:p>
            <w:pPr>
              <w:spacing w:after="0"/>
              <w:jc w:val="left"/>
            </w:pPr>
            <w:r>
              <w:rPr>
                <w:sz w:val="16"/>
              </w:rPr>
              <w:t>Relatively Moderate 8, Relatively Low 8</w:t>
            </w:r>
          </w:p>
        </w:tc>
        <w:tc>
          <w:tcPr>
            <w:tcW w:type="dxa" w:w="6453"/>
          </w:tcPr>
          <w:p>
            <w:pPr>
              <w:spacing w:after="0"/>
              <w:jc w:val="left"/>
            </w:pPr>
            <w:r>
              <w:rPr>
                <w:sz w:val="16"/>
              </w:rPr>
              <w:t>National data give a county-wide or coarse (49 km grid or NWS zone) frequency for this hazard, so they cannot show members' hazard differing. The tract range above mostly reflects where buildings and people are. Confirm locally.</w:t>
            </w:r>
          </w:p>
        </w:tc>
      </w:tr>
      <w:tr>
        <w:trPr>
          <w:cantSplit/>
        </w:trPr>
        <w:tc>
          <w:tcPr>
            <w:tcW w:type="dxa" w:w="1037"/>
          </w:tcPr>
          <w:p>
            <w:pPr>
              <w:spacing w:after="0"/>
              <w:jc w:val="left"/>
            </w:pPr>
            <w:r>
              <w:rPr>
                <w:sz w:val="16"/>
              </w:rPr>
              <w:t>Heat Wave</w:t>
            </w:r>
          </w:p>
        </w:tc>
        <w:tc>
          <w:tcPr>
            <w:tcW w:type="dxa" w:w="844"/>
          </w:tcPr>
          <w:p>
            <w:pPr>
              <w:spacing w:after="0"/>
              <w:jc w:val="right"/>
            </w:pPr>
            <w:r>
              <w:rPr>
                <w:sz w:val="16"/>
              </w:rPr>
              <w:t>16 of 16</w:t>
            </w:r>
          </w:p>
        </w:tc>
        <w:tc>
          <w:tcPr>
            <w:tcW w:type="dxa" w:w="874"/>
          </w:tcPr>
          <w:p>
            <w:pPr>
              <w:spacing w:after="0"/>
              <w:jc w:val="right"/>
            </w:pPr>
            <w:r>
              <w:rPr>
                <w:sz w:val="16"/>
              </w:rPr>
              <w:t>61.2</w:t>
            </w:r>
          </w:p>
        </w:tc>
        <w:tc>
          <w:tcPr>
            <w:tcW w:type="dxa" w:w="680"/>
          </w:tcPr>
          <w:p>
            <w:pPr>
              <w:spacing w:after="0"/>
              <w:jc w:val="right"/>
            </w:pPr>
            <w:r>
              <w:rPr>
                <w:sz w:val="16"/>
              </w:rPr>
              <w:t>74.3</w:t>
            </w:r>
          </w:p>
        </w:tc>
        <w:tc>
          <w:tcPr>
            <w:tcW w:type="dxa" w:w="648"/>
          </w:tcPr>
          <w:p>
            <w:pPr>
              <w:spacing w:after="0"/>
              <w:jc w:val="right"/>
            </w:pPr>
            <w:r>
              <w:rPr>
                <w:sz w:val="16"/>
              </w:rPr>
              <w:t>86.3</w:t>
            </w:r>
          </w:p>
        </w:tc>
        <w:tc>
          <w:tcPr>
            <w:tcW w:type="dxa" w:w="3577"/>
          </w:tcPr>
          <w:p>
            <w:pPr>
              <w:spacing w:after="0"/>
              <w:jc w:val="left"/>
            </w:pPr>
            <w:r>
              <w:rPr>
                <w:sz w:val="16"/>
              </w:rPr>
              <w:t>Relatively High 2, Relatively Moderate 14</w:t>
            </w:r>
          </w:p>
        </w:tc>
        <w:tc>
          <w:tcPr>
            <w:tcW w:type="dxa" w:w="6453"/>
          </w:tcPr>
          <w:p>
            <w:pPr>
              <w:spacing w:after="0"/>
              <w:jc w:val="left"/>
            </w:pPr>
            <w:r>
              <w:rPr>
                <w:sz w:val="16"/>
              </w:rPr>
              <w:t>National data give a county-wide or coarse (49 km grid or NWS zone) frequency for this hazard, so they cannot show members' hazard differing. The tract range above mostly reflects where buildings and people are. Confirm locally.</w:t>
            </w:r>
          </w:p>
        </w:tc>
      </w:tr>
      <w:tr>
        <w:trPr>
          <w:cantSplit/>
        </w:trPr>
        <w:tc>
          <w:tcPr>
            <w:tcW w:type="dxa" w:w="1037"/>
          </w:tcPr>
          <w:p>
            <w:pPr>
              <w:spacing w:after="0"/>
              <w:jc w:val="left"/>
            </w:pPr>
            <w:r>
              <w:rPr>
                <w:sz w:val="16"/>
              </w:rPr>
              <w:t>Hurricane</w:t>
            </w:r>
          </w:p>
        </w:tc>
        <w:tc>
          <w:tcPr>
            <w:tcW w:type="dxa" w:w="844"/>
          </w:tcPr>
          <w:p>
            <w:pPr>
              <w:spacing w:after="0"/>
              <w:jc w:val="right"/>
            </w:pPr>
            <w:r>
              <w:rPr>
                <w:sz w:val="16"/>
              </w:rPr>
              <w:t>16 of 16</w:t>
            </w:r>
          </w:p>
        </w:tc>
        <w:tc>
          <w:tcPr>
            <w:tcW w:type="dxa" w:w="874"/>
          </w:tcPr>
          <w:p>
            <w:pPr>
              <w:spacing w:after="0"/>
              <w:jc w:val="right"/>
            </w:pPr>
            <w:r>
              <w:rPr>
                <w:sz w:val="16"/>
              </w:rPr>
              <w:t>23.3</w:t>
            </w:r>
          </w:p>
        </w:tc>
        <w:tc>
          <w:tcPr>
            <w:tcW w:type="dxa" w:w="680"/>
          </w:tcPr>
          <w:p>
            <w:pPr>
              <w:spacing w:after="0"/>
              <w:jc w:val="right"/>
            </w:pPr>
            <w:r>
              <w:rPr>
                <w:sz w:val="16"/>
              </w:rPr>
              <w:t>29.8</w:t>
            </w:r>
          </w:p>
        </w:tc>
        <w:tc>
          <w:tcPr>
            <w:tcW w:type="dxa" w:w="648"/>
          </w:tcPr>
          <w:p>
            <w:pPr>
              <w:spacing w:after="0"/>
              <w:jc w:val="right"/>
            </w:pPr>
            <w:r>
              <w:rPr>
                <w:sz w:val="16"/>
              </w:rPr>
              <w:t>36.5</w:t>
            </w:r>
          </w:p>
        </w:tc>
        <w:tc>
          <w:tcPr>
            <w:tcW w:type="dxa" w:w="3577"/>
          </w:tcPr>
          <w:p>
            <w:pPr>
              <w:spacing w:after="0"/>
              <w:jc w:val="left"/>
            </w:pPr>
            <w:r>
              <w:rPr>
                <w:sz w:val="16"/>
              </w:rPr>
              <w:t>Very Low 16</w:t>
            </w:r>
          </w:p>
        </w:tc>
        <w:tc>
          <w:tcPr>
            <w:tcW w:type="dxa" w:w="6453"/>
          </w:tcPr>
          <w:p>
            <w:pPr>
              <w:spacing w:after="0"/>
              <w:jc w:val="left"/>
            </w:pPr>
          </w:p>
        </w:tc>
      </w:tr>
      <w:tr>
        <w:trPr>
          <w:cantSplit/>
        </w:trPr>
        <w:tc>
          <w:tcPr>
            <w:tcW w:type="dxa" w:w="1037"/>
          </w:tcPr>
          <w:p>
            <w:pPr>
              <w:spacing w:after="0"/>
              <w:jc w:val="left"/>
            </w:pPr>
            <w:r>
              <w:rPr>
                <w:sz w:val="16"/>
              </w:rPr>
              <w:t>Ice Storm</w:t>
            </w:r>
          </w:p>
        </w:tc>
        <w:tc>
          <w:tcPr>
            <w:tcW w:type="dxa" w:w="844"/>
          </w:tcPr>
          <w:p>
            <w:pPr>
              <w:spacing w:after="0"/>
              <w:jc w:val="right"/>
            </w:pPr>
            <w:r>
              <w:rPr>
                <w:sz w:val="16"/>
              </w:rPr>
              <w:t>16 of 16</w:t>
            </w:r>
          </w:p>
        </w:tc>
        <w:tc>
          <w:tcPr>
            <w:tcW w:type="dxa" w:w="874"/>
          </w:tcPr>
          <w:p>
            <w:pPr>
              <w:spacing w:after="0"/>
              <w:jc w:val="right"/>
            </w:pPr>
            <w:r>
              <w:rPr>
                <w:sz w:val="16"/>
              </w:rPr>
              <w:t>74.9</w:t>
            </w:r>
          </w:p>
        </w:tc>
        <w:tc>
          <w:tcPr>
            <w:tcW w:type="dxa" w:w="680"/>
          </w:tcPr>
          <w:p>
            <w:pPr>
              <w:spacing w:after="0"/>
              <w:jc w:val="right"/>
            </w:pPr>
            <w:r>
              <w:rPr>
                <w:sz w:val="16"/>
              </w:rPr>
              <w:t>88.8</w:t>
            </w:r>
          </w:p>
        </w:tc>
        <w:tc>
          <w:tcPr>
            <w:tcW w:type="dxa" w:w="648"/>
          </w:tcPr>
          <w:p>
            <w:pPr>
              <w:spacing w:after="0"/>
              <w:jc w:val="right"/>
            </w:pPr>
            <w:r>
              <w:rPr>
                <w:sz w:val="16"/>
              </w:rPr>
              <w:t>92.5</w:t>
            </w:r>
          </w:p>
        </w:tc>
        <w:tc>
          <w:tcPr>
            <w:tcW w:type="dxa" w:w="3577"/>
          </w:tcPr>
          <w:p>
            <w:pPr>
              <w:spacing w:after="0"/>
              <w:jc w:val="left"/>
            </w:pPr>
            <w:r>
              <w:rPr>
                <w:sz w:val="16"/>
              </w:rPr>
              <w:t>Relatively High 5, Relatively Moderate 11</w:t>
            </w:r>
          </w:p>
        </w:tc>
        <w:tc>
          <w:tcPr>
            <w:tcW w:type="dxa" w:w="6453"/>
          </w:tcPr>
          <w:p>
            <w:pPr>
              <w:spacing w:after="0"/>
              <w:jc w:val="left"/>
            </w:pPr>
            <w:r>
              <w:rPr>
                <w:sz w:val="16"/>
              </w:rPr>
              <w:t>National data give a county-wide or coarse (49 km grid or NWS zone) frequency for this hazard, so they cannot show members' hazard differing. The tract range above mostly reflects where buildings and people are. Confirm locally.</w:t>
            </w:r>
          </w:p>
        </w:tc>
      </w:tr>
      <w:tr>
        <w:trPr>
          <w:cantSplit/>
        </w:trPr>
        <w:tc>
          <w:tcPr>
            <w:tcW w:type="dxa" w:w="1037"/>
          </w:tcPr>
          <w:p>
            <w:pPr>
              <w:spacing w:after="0"/>
              <w:jc w:val="left"/>
            </w:pPr>
            <w:r>
              <w:rPr>
                <w:sz w:val="16"/>
              </w:rPr>
              <w:t>Inland Flooding</w:t>
            </w:r>
          </w:p>
        </w:tc>
        <w:tc>
          <w:tcPr>
            <w:tcW w:type="dxa" w:w="844"/>
          </w:tcPr>
          <w:p>
            <w:pPr>
              <w:spacing w:after="0"/>
              <w:jc w:val="right"/>
            </w:pPr>
            <w:r>
              <w:rPr>
                <w:sz w:val="16"/>
              </w:rPr>
              <w:t>16 of 16</w:t>
            </w:r>
          </w:p>
        </w:tc>
        <w:tc>
          <w:tcPr>
            <w:tcW w:type="dxa" w:w="874"/>
          </w:tcPr>
          <w:p>
            <w:pPr>
              <w:spacing w:after="0"/>
              <w:jc w:val="right"/>
            </w:pPr>
            <w:r>
              <w:rPr>
                <w:sz w:val="16"/>
              </w:rPr>
              <w:t>13.0</w:t>
            </w:r>
          </w:p>
        </w:tc>
        <w:tc>
          <w:tcPr>
            <w:tcW w:type="dxa" w:w="680"/>
          </w:tcPr>
          <w:p>
            <w:pPr>
              <w:spacing w:after="0"/>
              <w:jc w:val="right"/>
            </w:pPr>
            <w:r>
              <w:rPr>
                <w:sz w:val="16"/>
              </w:rPr>
              <w:t>68.6</w:t>
            </w:r>
          </w:p>
        </w:tc>
        <w:tc>
          <w:tcPr>
            <w:tcW w:type="dxa" w:w="648"/>
          </w:tcPr>
          <w:p>
            <w:pPr>
              <w:spacing w:after="0"/>
              <w:jc w:val="right"/>
            </w:pPr>
            <w:r>
              <w:rPr>
                <w:sz w:val="16"/>
              </w:rPr>
              <w:t>94.9</w:t>
            </w:r>
          </w:p>
        </w:tc>
        <w:tc>
          <w:tcPr>
            <w:tcW w:type="dxa" w:w="3577"/>
          </w:tcPr>
          <w:p>
            <w:pPr>
              <w:spacing w:after="0"/>
              <w:jc w:val="left"/>
            </w:pPr>
            <w:r>
              <w:rPr>
                <w:sz w:val="16"/>
              </w:rPr>
              <w:t>Relatively High 5, Relatively Moderate 6, Relatively Low 4, Very Low 1</w:t>
            </w:r>
          </w:p>
        </w:tc>
        <w:tc>
          <w:tcPr>
            <w:tcW w:type="dxa" w:w="6453"/>
          </w:tcPr>
          <w:p>
            <w:pPr>
              <w:spacing w:after="0"/>
              <w:jc w:val="left"/>
            </w:pPr>
          </w:p>
        </w:tc>
      </w:tr>
      <w:tr>
        <w:trPr>
          <w:cantSplit/>
        </w:trPr>
        <w:tc>
          <w:tcPr>
            <w:tcW w:type="dxa" w:w="1037"/>
          </w:tcPr>
          <w:p>
            <w:pPr>
              <w:spacing w:after="0"/>
              <w:jc w:val="left"/>
            </w:pPr>
            <w:r>
              <w:rPr>
                <w:sz w:val="16"/>
              </w:rPr>
              <w:t>Landslide</w:t>
            </w:r>
          </w:p>
        </w:tc>
        <w:tc>
          <w:tcPr>
            <w:tcW w:type="dxa" w:w="844"/>
          </w:tcPr>
          <w:p>
            <w:pPr>
              <w:spacing w:after="0"/>
              <w:jc w:val="right"/>
            </w:pPr>
            <w:r>
              <w:rPr>
                <w:sz w:val="16"/>
              </w:rPr>
              <w:t>16 of 16</w:t>
            </w:r>
          </w:p>
        </w:tc>
        <w:tc>
          <w:tcPr>
            <w:tcW w:type="dxa" w:w="874"/>
          </w:tcPr>
          <w:p>
            <w:pPr>
              <w:spacing w:after="0"/>
              <w:jc w:val="right"/>
            </w:pPr>
            <w:r>
              <w:rPr>
                <w:sz w:val="16"/>
              </w:rPr>
              <w:t>16.2</w:t>
            </w:r>
          </w:p>
        </w:tc>
        <w:tc>
          <w:tcPr>
            <w:tcW w:type="dxa" w:w="680"/>
          </w:tcPr>
          <w:p>
            <w:pPr>
              <w:spacing w:after="0"/>
              <w:jc w:val="right"/>
            </w:pPr>
            <w:r>
              <w:rPr>
                <w:sz w:val="16"/>
              </w:rPr>
              <w:t>35.3</w:t>
            </w:r>
          </w:p>
        </w:tc>
        <w:tc>
          <w:tcPr>
            <w:tcW w:type="dxa" w:w="648"/>
          </w:tcPr>
          <w:p>
            <w:pPr>
              <w:spacing w:after="0"/>
              <w:jc w:val="right"/>
            </w:pPr>
            <w:r>
              <w:rPr>
                <w:sz w:val="16"/>
              </w:rPr>
              <w:t>77.3</w:t>
            </w:r>
          </w:p>
        </w:tc>
        <w:tc>
          <w:tcPr>
            <w:tcW w:type="dxa" w:w="3577"/>
          </w:tcPr>
          <w:p>
            <w:pPr>
              <w:spacing w:after="0"/>
              <w:jc w:val="left"/>
            </w:pPr>
            <w:r>
              <w:rPr>
                <w:sz w:val="16"/>
              </w:rPr>
              <w:t>Very Low 16</w:t>
            </w:r>
          </w:p>
        </w:tc>
        <w:tc>
          <w:tcPr>
            <w:tcW w:type="dxa" w:w="6453"/>
          </w:tcPr>
          <w:p>
            <w:pPr>
              <w:spacing w:after="0"/>
              <w:jc w:val="left"/>
            </w:pPr>
          </w:p>
        </w:tc>
      </w:tr>
      <w:tr>
        <w:trPr>
          <w:cantSplit/>
        </w:trPr>
        <w:tc>
          <w:tcPr>
            <w:tcW w:type="dxa" w:w="1037"/>
          </w:tcPr>
          <w:p>
            <w:pPr>
              <w:spacing w:after="0"/>
              <w:jc w:val="left"/>
            </w:pPr>
            <w:r>
              <w:rPr>
                <w:sz w:val="16"/>
              </w:rPr>
              <w:t>Lightning</w:t>
            </w:r>
          </w:p>
        </w:tc>
        <w:tc>
          <w:tcPr>
            <w:tcW w:type="dxa" w:w="844"/>
          </w:tcPr>
          <w:p>
            <w:pPr>
              <w:spacing w:after="0"/>
              <w:jc w:val="right"/>
            </w:pPr>
            <w:r>
              <w:rPr>
                <w:sz w:val="16"/>
              </w:rPr>
              <w:t>16 of 16</w:t>
            </w:r>
          </w:p>
        </w:tc>
        <w:tc>
          <w:tcPr>
            <w:tcW w:type="dxa" w:w="874"/>
          </w:tcPr>
          <w:p>
            <w:pPr>
              <w:spacing w:after="0"/>
              <w:jc w:val="right"/>
            </w:pPr>
            <w:r>
              <w:rPr>
                <w:sz w:val="16"/>
              </w:rPr>
              <w:t>38.2</w:t>
            </w:r>
          </w:p>
        </w:tc>
        <w:tc>
          <w:tcPr>
            <w:tcW w:type="dxa" w:w="680"/>
          </w:tcPr>
          <w:p>
            <w:pPr>
              <w:spacing w:after="0"/>
              <w:jc w:val="right"/>
            </w:pPr>
            <w:r>
              <w:rPr>
                <w:sz w:val="16"/>
              </w:rPr>
              <w:t>51.3</w:t>
            </w:r>
          </w:p>
        </w:tc>
        <w:tc>
          <w:tcPr>
            <w:tcW w:type="dxa" w:w="648"/>
          </w:tcPr>
          <w:p>
            <w:pPr>
              <w:spacing w:after="0"/>
              <w:jc w:val="right"/>
            </w:pPr>
            <w:r>
              <w:rPr>
                <w:sz w:val="16"/>
              </w:rPr>
              <w:t>68.2</w:t>
            </w:r>
          </w:p>
        </w:tc>
        <w:tc>
          <w:tcPr>
            <w:tcW w:type="dxa" w:w="3577"/>
          </w:tcPr>
          <w:p>
            <w:pPr>
              <w:spacing w:after="0"/>
              <w:jc w:val="left"/>
            </w:pPr>
            <w:r>
              <w:rPr>
                <w:sz w:val="16"/>
              </w:rPr>
              <w:t>Relatively Moderate 10, Relatively Low 6</w:t>
            </w:r>
          </w:p>
        </w:tc>
        <w:tc>
          <w:tcPr>
            <w:tcW w:type="dxa" w:w="6453"/>
          </w:tcPr>
          <w:p>
            <w:pPr>
              <w:spacing w:after="0"/>
              <w:jc w:val="left"/>
            </w:pPr>
            <w:r>
              <w:rPr>
                <w:sz w:val="16"/>
              </w:rPr>
              <w:t>National data give a county-wide or coarse (49 km grid or NWS zone) frequency for this hazard, so they cannot show members' hazard differing. The tract range above mostly reflects where buildings and people are. Confirm locally.</w:t>
            </w:r>
          </w:p>
        </w:tc>
      </w:tr>
      <w:tr>
        <w:trPr>
          <w:cantSplit/>
        </w:trPr>
        <w:tc>
          <w:tcPr>
            <w:tcW w:type="dxa" w:w="1037"/>
          </w:tcPr>
          <w:p>
            <w:pPr>
              <w:spacing w:after="0"/>
              <w:jc w:val="left"/>
            </w:pPr>
            <w:r>
              <w:rPr>
                <w:sz w:val="16"/>
              </w:rPr>
              <w:t>Strong Wind</w:t>
            </w:r>
          </w:p>
        </w:tc>
        <w:tc>
          <w:tcPr>
            <w:tcW w:type="dxa" w:w="844"/>
          </w:tcPr>
          <w:p>
            <w:pPr>
              <w:spacing w:after="0"/>
              <w:jc w:val="right"/>
            </w:pPr>
            <w:r>
              <w:rPr>
                <w:sz w:val="16"/>
              </w:rPr>
              <w:t>16 of 16</w:t>
            </w:r>
          </w:p>
        </w:tc>
        <w:tc>
          <w:tcPr>
            <w:tcW w:type="dxa" w:w="874"/>
          </w:tcPr>
          <w:p>
            <w:pPr>
              <w:spacing w:after="0"/>
              <w:jc w:val="right"/>
            </w:pPr>
            <w:r>
              <w:rPr>
                <w:sz w:val="16"/>
              </w:rPr>
              <w:t>76.2</w:t>
            </w:r>
          </w:p>
        </w:tc>
        <w:tc>
          <w:tcPr>
            <w:tcW w:type="dxa" w:w="680"/>
          </w:tcPr>
          <w:p>
            <w:pPr>
              <w:spacing w:after="0"/>
              <w:jc w:val="right"/>
            </w:pPr>
            <w:r>
              <w:rPr>
                <w:sz w:val="16"/>
              </w:rPr>
              <w:t>92.0</w:t>
            </w:r>
          </w:p>
        </w:tc>
        <w:tc>
          <w:tcPr>
            <w:tcW w:type="dxa" w:w="648"/>
          </w:tcPr>
          <w:p>
            <w:pPr>
              <w:spacing w:after="0"/>
              <w:jc w:val="right"/>
            </w:pPr>
            <w:r>
              <w:rPr>
                <w:sz w:val="16"/>
              </w:rPr>
              <w:t>96.4</w:t>
            </w:r>
          </w:p>
        </w:tc>
        <w:tc>
          <w:tcPr>
            <w:tcW w:type="dxa" w:w="3577"/>
          </w:tcPr>
          <w:p>
            <w:pPr>
              <w:spacing w:after="0"/>
              <w:jc w:val="left"/>
            </w:pPr>
            <w:r>
              <w:rPr>
                <w:sz w:val="16"/>
              </w:rPr>
              <w:t>Relatively High 14, Relatively Moderate 2</w:t>
            </w:r>
          </w:p>
        </w:tc>
        <w:tc>
          <w:tcPr>
            <w:tcW w:type="dxa" w:w="6453"/>
          </w:tcPr>
          <w:p>
            <w:pPr>
              <w:spacing w:after="0"/>
              <w:jc w:val="left"/>
            </w:pPr>
            <w:r>
              <w:rPr>
                <w:sz w:val="16"/>
              </w:rPr>
              <w:t>National data give a county-wide or coarse (49 km grid or NWS zone) frequency for this hazard, so they cannot show members' hazard differing. The tract range above mostly reflects where buildings and people are. Confirm locally.</w:t>
            </w:r>
          </w:p>
        </w:tc>
      </w:tr>
      <w:tr>
        <w:trPr>
          <w:cantSplit/>
        </w:trPr>
        <w:tc>
          <w:tcPr>
            <w:tcW w:type="dxa" w:w="1037"/>
          </w:tcPr>
          <w:p>
            <w:pPr>
              <w:spacing w:after="0"/>
              <w:jc w:val="left"/>
            </w:pPr>
            <w:r>
              <w:rPr>
                <w:sz w:val="16"/>
              </w:rPr>
              <w:t>Tornado</w:t>
            </w:r>
          </w:p>
        </w:tc>
        <w:tc>
          <w:tcPr>
            <w:tcW w:type="dxa" w:w="844"/>
          </w:tcPr>
          <w:p>
            <w:pPr>
              <w:spacing w:after="0"/>
              <w:jc w:val="right"/>
            </w:pPr>
            <w:r>
              <w:rPr>
                <w:sz w:val="16"/>
              </w:rPr>
              <w:t>16 of 16</w:t>
            </w:r>
          </w:p>
        </w:tc>
        <w:tc>
          <w:tcPr>
            <w:tcW w:type="dxa" w:w="874"/>
          </w:tcPr>
          <w:p>
            <w:pPr>
              <w:spacing w:after="0"/>
              <w:jc w:val="right"/>
            </w:pPr>
            <w:r>
              <w:rPr>
                <w:sz w:val="16"/>
              </w:rPr>
              <w:t>59.3</w:t>
            </w:r>
          </w:p>
        </w:tc>
        <w:tc>
          <w:tcPr>
            <w:tcW w:type="dxa" w:w="680"/>
          </w:tcPr>
          <w:p>
            <w:pPr>
              <w:spacing w:after="0"/>
              <w:jc w:val="right"/>
            </w:pPr>
            <w:r>
              <w:rPr>
                <w:sz w:val="16"/>
              </w:rPr>
              <w:t>72.5</w:t>
            </w:r>
          </w:p>
        </w:tc>
        <w:tc>
          <w:tcPr>
            <w:tcW w:type="dxa" w:w="648"/>
          </w:tcPr>
          <w:p>
            <w:pPr>
              <w:spacing w:after="0"/>
              <w:jc w:val="right"/>
            </w:pPr>
            <w:r>
              <w:rPr>
                <w:sz w:val="16"/>
              </w:rPr>
              <w:t>84.7</w:t>
            </w:r>
          </w:p>
        </w:tc>
        <w:tc>
          <w:tcPr>
            <w:tcW w:type="dxa" w:w="3577"/>
          </w:tcPr>
          <w:p>
            <w:pPr>
              <w:spacing w:after="0"/>
              <w:jc w:val="left"/>
            </w:pPr>
            <w:r>
              <w:rPr>
                <w:sz w:val="16"/>
              </w:rPr>
              <w:t>Relatively High 8, Relatively Moderate 8</w:t>
            </w:r>
          </w:p>
        </w:tc>
        <w:tc>
          <w:tcPr>
            <w:tcW w:type="dxa" w:w="6453"/>
          </w:tcPr>
          <w:p>
            <w:pPr>
              <w:spacing w:after="0"/>
              <w:jc w:val="left"/>
            </w:pPr>
          </w:p>
        </w:tc>
      </w:tr>
      <w:tr>
        <w:trPr>
          <w:cantSplit/>
        </w:trPr>
        <w:tc>
          <w:tcPr>
            <w:tcW w:type="dxa" w:w="1037"/>
          </w:tcPr>
          <w:p>
            <w:pPr>
              <w:spacing w:after="0"/>
              <w:jc w:val="left"/>
            </w:pPr>
            <w:r>
              <w:rPr>
                <w:sz w:val="16"/>
              </w:rPr>
              <w:t>Tsunami</w:t>
            </w:r>
          </w:p>
        </w:tc>
        <w:tc>
          <w:tcPr>
            <w:tcW w:type="dxa" w:w="844"/>
          </w:tcPr>
          <w:p>
            <w:pPr>
              <w:spacing w:after="0"/>
              <w:jc w:val="right"/>
            </w:pPr>
            <w:r>
              <w:rPr>
                <w:sz w:val="16"/>
              </w:rPr>
              <w:t>0 of 16</w:t>
            </w:r>
          </w:p>
        </w:tc>
        <w:tc>
          <w:tcPr>
            <w:tcW w:type="dxa" w:w="874"/>
          </w:tcPr>
          <w:p>
            <w:pPr>
              <w:spacing w:after="0"/>
              <w:jc w:val="right"/>
            </w:pPr>
          </w:p>
        </w:tc>
        <w:tc>
          <w:tcPr>
            <w:tcW w:type="dxa" w:w="680"/>
          </w:tcPr>
          <w:p>
            <w:pPr>
              <w:spacing w:after="0"/>
              <w:jc w:val="right"/>
            </w:pPr>
          </w:p>
        </w:tc>
        <w:tc>
          <w:tcPr>
            <w:tcW w:type="dxa" w:w="648"/>
          </w:tcPr>
          <w:p>
            <w:pPr>
              <w:spacing w:after="0"/>
              <w:jc w:val="right"/>
            </w:pPr>
          </w:p>
        </w:tc>
        <w:tc>
          <w:tcPr>
            <w:tcW w:type="dxa" w:w="3577"/>
          </w:tcPr>
          <w:p>
            <w:pPr>
              <w:spacing w:after="0"/>
              <w:jc w:val="left"/>
            </w:pPr>
            <w:r>
              <w:rPr>
                <w:sz w:val="16"/>
              </w:rPr>
              <w:t>Not Applicable 16</w:t>
            </w:r>
          </w:p>
        </w:tc>
        <w:tc>
          <w:tcPr>
            <w:tcW w:type="dxa" w:w="6453"/>
          </w:tcPr>
          <w:p>
            <w:pPr>
              <w:spacing w:after="0"/>
              <w:jc w:val="left"/>
            </w:pPr>
          </w:p>
        </w:tc>
      </w:tr>
      <w:tr>
        <w:trPr>
          <w:cantSplit/>
        </w:trPr>
        <w:tc>
          <w:tcPr>
            <w:tcW w:type="dxa" w:w="1037"/>
          </w:tcPr>
          <w:p>
            <w:pPr>
              <w:spacing w:after="0"/>
              <w:jc w:val="left"/>
            </w:pPr>
            <w:r>
              <w:rPr>
                <w:sz w:val="16"/>
              </w:rPr>
              <w:t>Volcanic Activity</w:t>
            </w:r>
          </w:p>
        </w:tc>
        <w:tc>
          <w:tcPr>
            <w:tcW w:type="dxa" w:w="844"/>
          </w:tcPr>
          <w:p>
            <w:pPr>
              <w:spacing w:after="0"/>
              <w:jc w:val="right"/>
            </w:pPr>
            <w:r>
              <w:rPr>
                <w:sz w:val="16"/>
              </w:rPr>
              <w:t>0 of 16</w:t>
            </w:r>
          </w:p>
        </w:tc>
        <w:tc>
          <w:tcPr>
            <w:tcW w:type="dxa" w:w="874"/>
          </w:tcPr>
          <w:p>
            <w:pPr>
              <w:spacing w:after="0"/>
              <w:jc w:val="right"/>
            </w:pPr>
          </w:p>
        </w:tc>
        <w:tc>
          <w:tcPr>
            <w:tcW w:type="dxa" w:w="680"/>
          </w:tcPr>
          <w:p>
            <w:pPr>
              <w:spacing w:after="0"/>
              <w:jc w:val="right"/>
            </w:pPr>
          </w:p>
        </w:tc>
        <w:tc>
          <w:tcPr>
            <w:tcW w:type="dxa" w:w="648"/>
          </w:tcPr>
          <w:p>
            <w:pPr>
              <w:spacing w:after="0"/>
              <w:jc w:val="right"/>
            </w:pPr>
          </w:p>
        </w:tc>
        <w:tc>
          <w:tcPr>
            <w:tcW w:type="dxa" w:w="3577"/>
          </w:tcPr>
          <w:p>
            <w:pPr>
              <w:spacing w:after="0"/>
              <w:jc w:val="left"/>
            </w:pPr>
            <w:r>
              <w:rPr>
                <w:sz w:val="16"/>
              </w:rPr>
              <w:t>Not Applicable 16</w:t>
            </w:r>
          </w:p>
        </w:tc>
        <w:tc>
          <w:tcPr>
            <w:tcW w:type="dxa" w:w="6453"/>
          </w:tcPr>
          <w:p>
            <w:pPr>
              <w:spacing w:after="0"/>
              <w:jc w:val="left"/>
            </w:pPr>
          </w:p>
        </w:tc>
      </w:tr>
      <w:tr>
        <w:trPr>
          <w:cantSplit/>
        </w:trPr>
        <w:tc>
          <w:tcPr>
            <w:tcW w:type="dxa" w:w="1037"/>
          </w:tcPr>
          <w:p>
            <w:pPr>
              <w:spacing w:after="0"/>
              <w:jc w:val="left"/>
            </w:pPr>
            <w:r>
              <w:rPr>
                <w:sz w:val="16"/>
              </w:rPr>
              <w:t>Wildfire</w:t>
            </w:r>
          </w:p>
        </w:tc>
        <w:tc>
          <w:tcPr>
            <w:tcW w:type="dxa" w:w="844"/>
          </w:tcPr>
          <w:p>
            <w:pPr>
              <w:spacing w:after="0"/>
              <w:jc w:val="right"/>
            </w:pPr>
            <w:r>
              <w:rPr>
                <w:sz w:val="16"/>
              </w:rPr>
              <w:t>15 of 16</w:t>
            </w:r>
          </w:p>
        </w:tc>
        <w:tc>
          <w:tcPr>
            <w:tcW w:type="dxa" w:w="874"/>
          </w:tcPr>
          <w:p>
            <w:pPr>
              <w:spacing w:after="0"/>
              <w:jc w:val="right"/>
            </w:pPr>
            <w:r>
              <w:rPr>
                <w:sz w:val="16"/>
              </w:rPr>
              <w:t>38.8</w:t>
            </w:r>
          </w:p>
        </w:tc>
        <w:tc>
          <w:tcPr>
            <w:tcW w:type="dxa" w:w="680"/>
          </w:tcPr>
          <w:p>
            <w:pPr>
              <w:spacing w:after="0"/>
              <w:jc w:val="right"/>
            </w:pPr>
            <w:r>
              <w:rPr>
                <w:sz w:val="16"/>
              </w:rPr>
              <w:t>64.1</w:t>
            </w:r>
          </w:p>
        </w:tc>
        <w:tc>
          <w:tcPr>
            <w:tcW w:type="dxa" w:w="648"/>
          </w:tcPr>
          <w:p>
            <w:pPr>
              <w:spacing w:after="0"/>
              <w:jc w:val="right"/>
            </w:pPr>
            <w:r>
              <w:rPr>
                <w:sz w:val="16"/>
              </w:rPr>
              <w:t>79.4</w:t>
            </w:r>
          </w:p>
        </w:tc>
        <w:tc>
          <w:tcPr>
            <w:tcW w:type="dxa" w:w="3577"/>
          </w:tcPr>
          <w:p>
            <w:pPr>
              <w:spacing w:after="0"/>
              <w:jc w:val="left"/>
            </w:pPr>
            <w:r>
              <w:rPr>
                <w:sz w:val="16"/>
              </w:rPr>
              <w:t>Relatively Low 6, Very Low 9, No Rating 1</w:t>
            </w:r>
          </w:p>
        </w:tc>
        <w:tc>
          <w:tcPr>
            <w:tcW w:type="dxa" w:w="6453"/>
          </w:tcPr>
          <w:p>
            <w:pPr>
              <w:spacing w:after="0"/>
              <w:jc w:val="left"/>
            </w:pPr>
          </w:p>
        </w:tc>
      </w:tr>
      <w:tr>
        <w:trPr>
          <w:cantSplit/>
        </w:trPr>
        <w:tc>
          <w:tcPr>
            <w:tcW w:type="dxa" w:w="1037"/>
          </w:tcPr>
          <w:p>
            <w:pPr>
              <w:spacing w:after="0"/>
              <w:jc w:val="left"/>
            </w:pPr>
            <w:r>
              <w:rPr>
                <w:sz w:val="16"/>
              </w:rPr>
              <w:t>Winter Weather</w:t>
            </w:r>
          </w:p>
        </w:tc>
        <w:tc>
          <w:tcPr>
            <w:tcW w:type="dxa" w:w="844"/>
          </w:tcPr>
          <w:p>
            <w:pPr>
              <w:spacing w:after="0"/>
              <w:jc w:val="right"/>
            </w:pPr>
            <w:r>
              <w:rPr>
                <w:sz w:val="16"/>
              </w:rPr>
              <w:t>16 of 16</w:t>
            </w:r>
          </w:p>
        </w:tc>
        <w:tc>
          <w:tcPr>
            <w:tcW w:type="dxa" w:w="874"/>
          </w:tcPr>
          <w:p>
            <w:pPr>
              <w:spacing w:after="0"/>
              <w:jc w:val="right"/>
            </w:pPr>
            <w:r>
              <w:rPr>
                <w:sz w:val="16"/>
              </w:rPr>
              <w:t>73.3</w:t>
            </w:r>
          </w:p>
        </w:tc>
        <w:tc>
          <w:tcPr>
            <w:tcW w:type="dxa" w:w="680"/>
          </w:tcPr>
          <w:p>
            <w:pPr>
              <w:spacing w:after="0"/>
              <w:jc w:val="right"/>
            </w:pPr>
            <w:r>
              <w:rPr>
                <w:sz w:val="16"/>
              </w:rPr>
              <w:t>86.1</w:t>
            </w:r>
          </w:p>
        </w:tc>
        <w:tc>
          <w:tcPr>
            <w:tcW w:type="dxa" w:w="648"/>
          </w:tcPr>
          <w:p>
            <w:pPr>
              <w:spacing w:after="0"/>
              <w:jc w:val="right"/>
            </w:pPr>
            <w:r>
              <w:rPr>
                <w:sz w:val="16"/>
              </w:rPr>
              <w:t>92.7</w:t>
            </w:r>
          </w:p>
        </w:tc>
        <w:tc>
          <w:tcPr>
            <w:tcW w:type="dxa" w:w="3577"/>
          </w:tcPr>
          <w:p>
            <w:pPr>
              <w:spacing w:after="0"/>
              <w:jc w:val="left"/>
            </w:pPr>
            <w:r>
              <w:rPr>
                <w:sz w:val="16"/>
              </w:rPr>
              <w:t>Relatively High 14, Relatively Moderate 2</w:t>
            </w:r>
          </w:p>
        </w:tc>
        <w:tc>
          <w:tcPr>
            <w:tcW w:type="dxa" w:w="6453"/>
          </w:tcPr>
          <w:p>
            <w:pPr>
              <w:spacing w:after="0"/>
              <w:jc w:val="left"/>
            </w:pPr>
            <w:r>
              <w:rPr>
                <w:sz w:val="16"/>
              </w:rPr>
              <w:t>National data give a county-wide or coarse (49 km grid or NWS zone) frequency for this hazard, so they cannot show members' hazard differing. The tract range above mostly reflects where buildings and people are. Confirm locally.</w:t>
            </w:r>
          </w:p>
        </w:tc>
      </w:tr>
    </w:tbl>
    <w:p>
      <w:pPr>
        <w:spacing w:after="40" w:before="60"/>
      </w:pPr>
      <w:r>
        <w:rPr>
          <w:sz w:val="15"/>
        </w:rPr>
        <w:t>Rated tracts only: No Rating (score 0.0), Not Applicable and Insufficient Data tracts are counted but not used for the minimum, median and maximum.</w:t>
      </w:r>
    </w:p>
    <w:p>
      <w:pPr>
        <w:spacing w:after="20" w:before="0"/>
      </w:pPr>
      <w:r>
        <w:rPr>
          <w:b/>
          <w:color w:val="555555"/>
          <w:sz w:val="15"/>
        </w:rPr>
        <w:t xml:space="preserve">Source: </w:t>
      </w:r>
      <w:r>
        <w:rPr>
          <w:color w:val="555555"/>
          <w:sz w:val="15"/>
        </w:rPr>
        <w:t xml:space="preserve">FEMA, FEMA National Risk Index 1.20.0 (December 2025), county and census tract tables, version 1.20.0, pulled 2026-09-28, </w:t>
      </w:r>
      <w:hyperlink r:id="rId13">
        <w:r>
          <w:rPr>
            <w:color w:val="1F4E99"/>
            <w:sz w:val="15"/>
            <w:u w:val="single"/>
          </w:rPr>
          <w:t>https://www.fema.gov/about/reports-and-data/openfema/nri/v120/NRI_Table_Counties.zip</w:t>
        </w:r>
      </w:hyperlink>
      <w:r>
        <w:rPr>
          <w:color w:val="555555"/>
          <w:sz w:val="15"/>
        </w:rPr>
        <w:t xml:space="preserve"> (download, 25 MB)</w:t>
      </w:r>
      <w:r>
        <w:rPr>
          <w:color w:val="555555"/>
          <w:sz w:val="15"/>
        </w:rPr>
        <w:t xml:space="preserve">, </w:t>
      </w:r>
      <w:hyperlink r:id="rId14">
        <w:r>
          <w:rPr>
            <w:color w:val="1F4E99"/>
            <w:sz w:val="15"/>
            <w:u w:val="single"/>
          </w:rPr>
          <w:t>https://www.fema.gov/about/reports-and-data/openfema/nri/v120/NRI_Table_CensusTracts.zip</w:t>
        </w:r>
      </w:hyperlink>
      <w:r>
        <w:rPr>
          <w:color w:val="555555"/>
          <w:sz w:val="15"/>
        </w:rPr>
        <w:t xml:space="preserve"> (download, 635 MB)</w:t>
      </w:r>
    </w:p>
    <w:p>
      <w:pPr>
        <w:spacing w:after="80" w:before="0"/>
      </w:pPr>
    </w:p>
    <w:p>
      <w:pPr>
        <w:pStyle w:val="Heading3"/>
        <w:keepNext/>
        <w:spacing w:after="80"/>
      </w:pPr>
      <w:r>
        <w:rPr/>
        <w:t>Per-member block (Starter, confirm locally)</w:t>
      </w:r>
    </w:p>
    <w:tbl>
      <w:tblPr>
        <w:tblW w:type="auto" w:w="0"/>
        <w:jc w:val="left"/>
        <w:tblBorders>
          <w:top w:val="single" w:sz="4" w:space="0" w:color="808080"/>
          <w:left w:val="single" w:sz="4" w:space="0" w:color="808080"/>
          <w:bottom w:val="single" w:sz="4" w:space="0" w:color="808080"/>
          <w:right w:val="single" w:sz="4" w:space="0" w:color="808080"/>
          <w:insideH w:val="single" w:sz="4" w:space="0" w:color="808080"/>
          <w:insideV w:val="single" w:sz="4" w:space="0" w:color="808080"/>
        </w:tblBorders>
        <w:tblLayout w:type="fixed"/>
        <w:tblCellMar>
          <w:top w:w="15" w:type="dxa"/>
          <w:left w:w="60" w:type="dxa"/>
          <w:bottom w:w="15" w:type="dxa"/>
          <w:right w:w="60" w:type="dxa"/>
        </w:tblCellMar>
        <w:tblLook w:firstColumn="1" w:firstRow="1" w:lastColumn="0" w:lastRow="0" w:noHBand="0" w:noVBand="1" w:val="04A0"/>
        <w:tblCaption w:val="Per-member block (Starter, confirm locally)"/>
        <w:tblDescription w:val="Hazard Plain table b1f_members"/>
      </w:tblPr>
      <w:tblGrid>
        <w:gridCol w:w="1828"/>
        <w:gridCol w:w="891"/>
        <w:gridCol w:w="3467"/>
        <w:gridCol w:w="2765"/>
        <w:gridCol w:w="1945"/>
        <w:gridCol w:w="2366"/>
        <w:gridCol w:w="850"/>
      </w:tblGrid>
      <w:tr>
        <w:trPr>
          <w:cantSplit/>
          <w:tblHeader/>
        </w:trPr>
        <w:tc>
          <w:tcPr>
            <w:tcW w:type="dxa" w:w="1828"/>
            <w:shd w:val="clear" w:color="auto" w:fill="E8E8E8"/>
          </w:tcPr>
          <w:p>
            <w:pPr>
              <w:spacing w:after="0"/>
              <w:jc w:val="left"/>
            </w:pPr>
            <w:r>
              <w:rPr>
                <w:b/>
                <w:sz w:val="16"/>
              </w:rPr>
              <w:t>Member</w:t>
            </w:r>
          </w:p>
        </w:tc>
        <w:tc>
          <w:tcPr>
            <w:tcW w:type="dxa" w:w="891"/>
            <w:shd w:val="clear" w:color="auto" w:fill="E8E8E8"/>
          </w:tcPr>
          <w:p>
            <w:pPr>
              <w:spacing w:after="0"/>
              <w:jc w:val="left"/>
            </w:pPr>
            <w:r>
              <w:rPr>
                <w:b/>
                <w:sz w:val="16"/>
              </w:rPr>
              <w:t>Type</w:t>
            </w:r>
          </w:p>
        </w:tc>
        <w:tc>
          <w:tcPr>
            <w:tcW w:type="dxa" w:w="3467"/>
            <w:shd w:val="clear" w:color="auto" w:fill="E8E8E8"/>
          </w:tcPr>
          <w:p>
            <w:pPr>
              <w:spacing w:after="0"/>
              <w:jc w:val="left"/>
            </w:pPr>
            <w:r>
              <w:rPr>
                <w:b/>
                <w:sz w:val="16"/>
              </w:rPr>
              <w:t>Plan status</w:t>
            </w:r>
          </w:p>
        </w:tc>
        <w:tc>
          <w:tcPr>
            <w:tcW w:type="dxa" w:w="2765"/>
            <w:shd w:val="clear" w:color="auto" w:fill="E8E8E8"/>
          </w:tcPr>
          <w:p>
            <w:pPr>
              <w:spacing w:after="0"/>
              <w:jc w:val="right"/>
            </w:pPr>
            <w:r>
              <w:rPr>
                <w:b/>
                <w:sz w:val="16"/>
              </w:rPr>
              <w:t>Repetitive loss</w:t>
            </w:r>
          </w:p>
          <w:p>
            <w:pPr>
              <w:spacing w:after="0"/>
              <w:jc w:val="right"/>
            </w:pPr>
            <w:r>
              <w:rPr>
                <w:i/>
                <w:color w:val="555555"/>
                <w:sz w:val="14"/>
              </w:rPr>
              <w:t>FMA RL and SRL (44 CFR 77.2); repeat-flood, any definition</w:t>
            </w:r>
          </w:p>
        </w:tc>
        <w:tc>
          <w:tcPr>
            <w:tcW w:type="dxa" w:w="1945"/>
            <w:shd w:val="clear" w:color="auto" w:fill="E8E8E8"/>
          </w:tcPr>
          <w:p>
            <w:pPr>
              <w:spacing w:after="0"/>
              <w:jc w:val="right"/>
            </w:pPr>
            <w:r>
              <w:rPr>
                <w:b/>
                <w:sz w:val="16"/>
              </w:rPr>
              <w:t>Public Assistance matched</w:t>
            </w:r>
          </w:p>
          <w:p>
            <w:pPr>
              <w:spacing w:after="0"/>
              <w:jc w:val="right"/>
            </w:pPr>
            <w:r>
              <w:rPr>
                <w:i/>
                <w:color w:val="555555"/>
                <w:sz w:val="14"/>
              </w:rPr>
              <w:t>federal share obligated, nominal dollars</w:t>
            </w:r>
          </w:p>
        </w:tc>
        <w:tc>
          <w:tcPr>
            <w:tcW w:type="dxa" w:w="2366"/>
            <w:shd w:val="clear" w:color="auto" w:fill="E8E8E8"/>
          </w:tcPr>
          <w:p>
            <w:pPr>
              <w:spacing w:after="0"/>
              <w:jc w:val="right"/>
            </w:pPr>
            <w:r>
              <w:rPr>
                <w:b/>
                <w:sz w:val="16"/>
              </w:rPr>
              <w:t>Event records naming this place</w:t>
            </w:r>
          </w:p>
          <w:p>
            <w:pPr>
              <w:spacing w:after="0"/>
              <w:jc w:val="right"/>
            </w:pPr>
            <w:r>
              <w:rPr>
                <w:i/>
                <w:color w:val="555555"/>
                <w:sz w:val="14"/>
              </w:rPr>
              <w:t>all years; since the member's plan</w:t>
            </w:r>
          </w:p>
        </w:tc>
        <w:tc>
          <w:tcPr>
            <w:tcW w:type="dxa" w:w="850"/>
            <w:shd w:val="clear" w:color="auto" w:fill="E8E8E8"/>
          </w:tcPr>
          <w:p>
            <w:pPr>
              <w:spacing w:after="0"/>
              <w:jc w:val="left"/>
            </w:pPr>
            <w:r>
              <w:rPr>
                <w:b/>
                <w:sz w:val="16"/>
              </w:rPr>
              <w:t>Notes</w:t>
            </w:r>
          </w:p>
        </w:tc>
      </w:tr>
      <w:tr>
        <w:trPr>
          <w:cantSplit/>
        </w:trPr>
        <w:tc>
          <w:tcPr>
            <w:tcW w:type="dxa" w:w="1828"/>
          </w:tcPr>
          <w:p>
            <w:pPr>
              <w:spacing w:after="0"/>
              <w:jc w:val="left"/>
            </w:pPr>
            <w:r>
              <w:rPr>
                <w:sz w:val="16"/>
              </w:rPr>
              <w:t>Warrick County</w:t>
            </w:r>
          </w:p>
        </w:tc>
        <w:tc>
          <w:tcPr>
            <w:tcW w:type="dxa" w:w="891"/>
          </w:tcPr>
          <w:p>
            <w:pPr>
              <w:spacing w:after="0"/>
              <w:jc w:val="left"/>
            </w:pPr>
            <w:r>
              <w:rPr>
                <w:sz w:val="16"/>
              </w:rPr>
              <w:t>County</w:t>
            </w:r>
          </w:p>
        </w:tc>
        <w:tc>
          <w:tcPr>
            <w:tcW w:type="dxa" w:w="3467"/>
          </w:tcPr>
          <w:p>
            <w:pPr>
              <w:spacing w:after="0"/>
              <w:jc w:val="left"/>
            </w:pPr>
            <w:r>
              <w:rPr>
                <w:sz w:val="16"/>
              </w:rPr>
              <w:t>Approved, expires 2028-03-06</w:t>
            </w:r>
          </w:p>
        </w:tc>
        <w:tc>
          <w:tcPr>
            <w:tcW w:type="dxa" w:w="2765"/>
          </w:tcPr>
          <w:p>
            <w:pPr>
              <w:spacing w:after="0"/>
              <w:jc w:val="right"/>
            </w:pPr>
            <w:r>
              <w:rPr>
                <w:sz w:val="16"/>
              </w:rPr>
              <w:t>FMA RL 0, SRL 1; any 3</w:t>
            </w:r>
          </w:p>
        </w:tc>
        <w:tc>
          <w:tcPr>
            <w:tcW w:type="dxa" w:w="1945"/>
          </w:tcPr>
          <w:p>
            <w:pPr>
              <w:spacing w:after="0"/>
              <w:jc w:val="right"/>
            </w:pPr>
            <w:r>
              <w:rPr>
                <w:sz w:val="16"/>
              </w:rPr>
              <w:t>$3,750</w:t>
            </w:r>
          </w:p>
        </w:tc>
        <w:tc>
          <w:tcPr>
            <w:tcW w:type="dxa" w:w="2366"/>
          </w:tcPr>
          <w:p>
            <w:pPr>
              <w:spacing w:after="0"/>
              <w:jc w:val="right"/>
            </w:pPr>
            <w:r>
              <w:rPr>
                <w:sz w:val="16"/>
              </w:rPr>
              <w:t>0; 0</w:t>
            </w:r>
          </w:p>
        </w:tc>
        <w:tc>
          <w:tcPr>
            <w:tcW w:type="dxa" w:w="850"/>
          </w:tcPr>
          <w:p>
            <w:pPr>
              <w:spacing w:after="0"/>
              <w:jc w:val="left"/>
            </w:pPr>
          </w:p>
        </w:tc>
      </w:tr>
      <w:tr>
        <w:trPr>
          <w:cantSplit/>
        </w:trPr>
        <w:tc>
          <w:tcPr>
            <w:tcW w:type="dxa" w:w="1828"/>
          </w:tcPr>
          <w:p>
            <w:pPr>
              <w:spacing w:after="0"/>
              <w:jc w:val="left"/>
            </w:pPr>
            <w:r>
              <w:rPr>
                <w:sz w:val="16"/>
              </w:rPr>
              <w:t>Boonville city</w:t>
            </w:r>
          </w:p>
        </w:tc>
        <w:tc>
          <w:tcPr>
            <w:tcW w:type="dxa" w:w="891"/>
          </w:tcPr>
          <w:p>
            <w:pPr>
              <w:spacing w:after="0"/>
              <w:jc w:val="left"/>
            </w:pPr>
            <w:r>
              <w:rPr>
                <w:sz w:val="16"/>
              </w:rPr>
              <w:t>City</w:t>
            </w:r>
          </w:p>
        </w:tc>
        <w:tc>
          <w:tcPr>
            <w:tcW w:type="dxa" w:w="3467"/>
          </w:tcPr>
          <w:p>
            <w:pPr>
              <w:spacing w:after="0"/>
              <w:jc w:val="left"/>
            </w:pPr>
            <w:r>
              <w:rPr>
                <w:sz w:val="16"/>
              </w:rPr>
              <w:t>Approved, expires 2028-03-06</w:t>
            </w:r>
          </w:p>
        </w:tc>
        <w:tc>
          <w:tcPr>
            <w:tcW w:type="dxa" w:w="2765"/>
          </w:tcPr>
          <w:p>
            <w:pPr>
              <w:spacing w:after="0"/>
              <w:jc w:val="right"/>
            </w:pPr>
            <w:r>
              <w:rPr>
                <w:sz w:val="16"/>
              </w:rPr>
              <w:t>FMA RL 0, SRL 0; any 0</w:t>
            </w:r>
          </w:p>
        </w:tc>
        <w:tc>
          <w:tcPr>
            <w:tcW w:type="dxa" w:w="1945"/>
          </w:tcPr>
          <w:p>
            <w:pPr>
              <w:spacing w:after="0"/>
              <w:jc w:val="right"/>
            </w:pPr>
            <w:r>
              <w:rPr>
                <w:sz w:val="16"/>
              </w:rPr>
              <w:t>$171,020.68</w:t>
            </w:r>
          </w:p>
        </w:tc>
        <w:tc>
          <w:tcPr>
            <w:tcW w:type="dxa" w:w="2366"/>
          </w:tcPr>
          <w:p>
            <w:pPr>
              <w:spacing w:after="0"/>
              <w:jc w:val="right"/>
            </w:pPr>
            <w:r>
              <w:rPr>
                <w:sz w:val="16"/>
              </w:rPr>
              <w:t>56; 8</w:t>
            </w:r>
          </w:p>
        </w:tc>
        <w:tc>
          <w:tcPr>
            <w:tcW w:type="dxa" w:w="850"/>
          </w:tcPr>
          <w:p>
            <w:pPr>
              <w:spacing w:after="0"/>
              <w:jc w:val="left"/>
            </w:pPr>
          </w:p>
        </w:tc>
      </w:tr>
      <w:tr>
        <w:trPr>
          <w:cantSplit/>
        </w:trPr>
        <w:tc>
          <w:tcPr>
            <w:tcW w:type="dxa" w:w="1828"/>
          </w:tcPr>
          <w:p>
            <w:pPr>
              <w:spacing w:after="0"/>
              <w:jc w:val="left"/>
            </w:pPr>
            <w:r>
              <w:rPr>
                <w:sz w:val="16"/>
              </w:rPr>
              <w:t>Chandler town</w:t>
            </w:r>
          </w:p>
        </w:tc>
        <w:tc>
          <w:tcPr>
            <w:tcW w:type="dxa" w:w="891"/>
          </w:tcPr>
          <w:p>
            <w:pPr>
              <w:spacing w:after="0"/>
              <w:jc w:val="left"/>
            </w:pPr>
            <w:r>
              <w:rPr>
                <w:sz w:val="16"/>
              </w:rPr>
              <w:t>Town</w:t>
            </w:r>
          </w:p>
        </w:tc>
        <w:tc>
          <w:tcPr>
            <w:tcW w:type="dxa" w:w="3467"/>
          </w:tcPr>
          <w:p>
            <w:pPr>
              <w:spacing w:after="0"/>
              <w:jc w:val="left"/>
            </w:pPr>
            <w:r>
              <w:rPr>
                <w:sz w:val="16"/>
              </w:rPr>
              <w:t>Approved, expires 2028-03-06</w:t>
            </w:r>
          </w:p>
        </w:tc>
        <w:tc>
          <w:tcPr>
            <w:tcW w:type="dxa" w:w="2765"/>
          </w:tcPr>
          <w:p>
            <w:pPr>
              <w:spacing w:after="0"/>
              <w:jc w:val="right"/>
            </w:pPr>
            <w:r>
              <w:rPr>
                <w:sz w:val="16"/>
              </w:rPr>
              <w:t>FMA RL 0, SRL 0; any 1</w:t>
            </w:r>
          </w:p>
        </w:tc>
        <w:tc>
          <w:tcPr>
            <w:tcW w:type="dxa" w:w="1945"/>
          </w:tcPr>
          <w:p>
            <w:pPr>
              <w:spacing w:after="0"/>
              <w:jc w:val="right"/>
            </w:pPr>
            <w:r>
              <w:rPr>
                <w:sz w:val="16"/>
              </w:rPr>
              <w:t>$27,208.14</w:t>
            </w:r>
          </w:p>
        </w:tc>
        <w:tc>
          <w:tcPr>
            <w:tcW w:type="dxa" w:w="2366"/>
          </w:tcPr>
          <w:p>
            <w:pPr>
              <w:spacing w:after="0"/>
              <w:jc w:val="right"/>
            </w:pPr>
            <w:r>
              <w:rPr>
                <w:sz w:val="16"/>
              </w:rPr>
              <w:t>27; 3</w:t>
            </w:r>
          </w:p>
        </w:tc>
        <w:tc>
          <w:tcPr>
            <w:tcW w:type="dxa" w:w="850"/>
          </w:tcPr>
          <w:p>
            <w:pPr>
              <w:spacing w:after="0"/>
              <w:jc w:val="left"/>
            </w:pPr>
          </w:p>
        </w:tc>
      </w:tr>
      <w:tr>
        <w:trPr>
          <w:cantSplit/>
        </w:trPr>
        <w:tc>
          <w:tcPr>
            <w:tcW w:type="dxa" w:w="1828"/>
          </w:tcPr>
          <w:p>
            <w:pPr>
              <w:spacing w:after="0"/>
              <w:jc w:val="left"/>
            </w:pPr>
            <w:r>
              <w:rPr>
                <w:sz w:val="16"/>
              </w:rPr>
              <w:t>Elberfeld town</w:t>
            </w:r>
          </w:p>
        </w:tc>
        <w:tc>
          <w:tcPr>
            <w:tcW w:type="dxa" w:w="891"/>
          </w:tcPr>
          <w:p>
            <w:pPr>
              <w:spacing w:after="0"/>
              <w:jc w:val="left"/>
            </w:pPr>
            <w:r>
              <w:rPr>
                <w:sz w:val="16"/>
              </w:rPr>
              <w:t>Town</w:t>
            </w:r>
          </w:p>
        </w:tc>
        <w:tc>
          <w:tcPr>
            <w:tcW w:type="dxa" w:w="3467"/>
          </w:tcPr>
          <w:p>
            <w:pPr>
              <w:spacing w:after="0"/>
              <w:jc w:val="left"/>
            </w:pPr>
            <w:r>
              <w:rPr>
                <w:sz w:val="16"/>
              </w:rPr>
              <w:t>Approved, expires 2028-03-06</w:t>
            </w:r>
          </w:p>
        </w:tc>
        <w:tc>
          <w:tcPr>
            <w:tcW w:type="dxa" w:w="2765"/>
          </w:tcPr>
          <w:p>
            <w:pPr>
              <w:spacing w:after="0"/>
              <w:jc w:val="right"/>
            </w:pPr>
            <w:r>
              <w:rPr>
                <w:sz w:val="16"/>
              </w:rPr>
              <w:t>FMA RL 0, SRL 0; any 0</w:t>
            </w:r>
          </w:p>
        </w:tc>
        <w:tc>
          <w:tcPr>
            <w:tcW w:type="dxa" w:w="1945"/>
          </w:tcPr>
          <w:p>
            <w:pPr>
              <w:spacing w:after="0"/>
              <w:jc w:val="right"/>
            </w:pPr>
            <w:r>
              <w:rPr>
                <w:sz w:val="16"/>
              </w:rPr>
              <w:t>$2,442.51</w:t>
            </w:r>
          </w:p>
        </w:tc>
        <w:tc>
          <w:tcPr>
            <w:tcW w:type="dxa" w:w="2366"/>
          </w:tcPr>
          <w:p>
            <w:pPr>
              <w:spacing w:after="0"/>
              <w:jc w:val="right"/>
            </w:pPr>
            <w:r>
              <w:rPr>
                <w:sz w:val="16"/>
              </w:rPr>
              <w:t>11; 3</w:t>
            </w:r>
          </w:p>
        </w:tc>
        <w:tc>
          <w:tcPr>
            <w:tcW w:type="dxa" w:w="850"/>
          </w:tcPr>
          <w:p>
            <w:pPr>
              <w:spacing w:after="0"/>
              <w:jc w:val="left"/>
            </w:pPr>
          </w:p>
        </w:tc>
      </w:tr>
      <w:tr>
        <w:trPr>
          <w:cantSplit/>
        </w:trPr>
        <w:tc>
          <w:tcPr>
            <w:tcW w:type="dxa" w:w="1828"/>
          </w:tcPr>
          <w:p>
            <w:pPr>
              <w:spacing w:after="0"/>
              <w:jc w:val="left"/>
            </w:pPr>
            <w:r>
              <w:rPr>
                <w:sz w:val="16"/>
              </w:rPr>
              <w:t>Lynnville town</w:t>
            </w:r>
          </w:p>
        </w:tc>
        <w:tc>
          <w:tcPr>
            <w:tcW w:type="dxa" w:w="891"/>
          </w:tcPr>
          <w:p>
            <w:pPr>
              <w:spacing w:after="0"/>
              <w:jc w:val="left"/>
            </w:pPr>
            <w:r>
              <w:rPr>
                <w:sz w:val="16"/>
              </w:rPr>
              <w:t>Town</w:t>
            </w:r>
          </w:p>
        </w:tc>
        <w:tc>
          <w:tcPr>
            <w:tcW w:type="dxa" w:w="3467"/>
          </w:tcPr>
          <w:p>
            <w:pPr>
              <w:spacing w:after="0"/>
              <w:jc w:val="left"/>
            </w:pPr>
            <w:r>
              <w:rPr>
                <w:sz w:val="16"/>
              </w:rPr>
              <w:t>Approved, expires 2028-03-06</w:t>
            </w:r>
          </w:p>
        </w:tc>
        <w:tc>
          <w:tcPr>
            <w:tcW w:type="dxa" w:w="2765"/>
          </w:tcPr>
          <w:p>
            <w:pPr>
              <w:spacing w:after="0"/>
              <w:jc w:val="right"/>
            </w:pPr>
            <w:r>
              <w:rPr>
                <w:sz w:val="16"/>
              </w:rPr>
              <w:t>FMA RL 0, SRL 0; any 0</w:t>
            </w:r>
          </w:p>
        </w:tc>
        <w:tc>
          <w:tcPr>
            <w:tcW w:type="dxa" w:w="1945"/>
          </w:tcPr>
          <w:p>
            <w:pPr>
              <w:spacing w:after="0"/>
              <w:jc w:val="right"/>
            </w:pPr>
            <w:r>
              <w:rPr>
                <w:sz w:val="16"/>
              </w:rPr>
              <w:t>$2,298.32</w:t>
            </w:r>
          </w:p>
        </w:tc>
        <w:tc>
          <w:tcPr>
            <w:tcW w:type="dxa" w:w="2366"/>
          </w:tcPr>
          <w:p>
            <w:pPr>
              <w:spacing w:after="0"/>
              <w:jc w:val="right"/>
            </w:pPr>
            <w:r>
              <w:rPr>
                <w:sz w:val="16"/>
              </w:rPr>
              <w:t>23; 1</w:t>
            </w:r>
          </w:p>
        </w:tc>
        <w:tc>
          <w:tcPr>
            <w:tcW w:type="dxa" w:w="850"/>
          </w:tcPr>
          <w:p>
            <w:pPr>
              <w:spacing w:after="0"/>
              <w:jc w:val="left"/>
            </w:pPr>
          </w:p>
        </w:tc>
      </w:tr>
      <w:tr>
        <w:trPr>
          <w:cantSplit/>
        </w:trPr>
        <w:tc>
          <w:tcPr>
            <w:tcW w:type="dxa" w:w="1828"/>
          </w:tcPr>
          <w:p>
            <w:pPr>
              <w:spacing w:after="0"/>
              <w:jc w:val="left"/>
            </w:pPr>
            <w:r>
              <w:rPr>
                <w:sz w:val="16"/>
              </w:rPr>
              <w:t>Newburgh town</w:t>
            </w:r>
          </w:p>
        </w:tc>
        <w:tc>
          <w:tcPr>
            <w:tcW w:type="dxa" w:w="891"/>
          </w:tcPr>
          <w:p>
            <w:pPr>
              <w:spacing w:after="0"/>
              <w:jc w:val="left"/>
            </w:pPr>
            <w:r>
              <w:rPr>
                <w:sz w:val="16"/>
              </w:rPr>
              <w:t>Town</w:t>
            </w:r>
          </w:p>
        </w:tc>
        <w:tc>
          <w:tcPr>
            <w:tcW w:type="dxa" w:w="3467"/>
          </w:tcPr>
          <w:p>
            <w:pPr>
              <w:spacing w:after="0"/>
              <w:jc w:val="left"/>
            </w:pPr>
            <w:r>
              <w:rPr>
                <w:sz w:val="16"/>
              </w:rPr>
              <w:t>Approved, expires 2028-03-06</w:t>
            </w:r>
          </w:p>
        </w:tc>
        <w:tc>
          <w:tcPr>
            <w:tcW w:type="dxa" w:w="2765"/>
          </w:tcPr>
          <w:p>
            <w:pPr>
              <w:spacing w:after="0"/>
              <w:jc w:val="right"/>
            </w:pPr>
            <w:r>
              <w:rPr>
                <w:sz w:val="16"/>
              </w:rPr>
              <w:t>FMA RL 1, SRL 1; any 3</w:t>
            </w:r>
          </w:p>
        </w:tc>
        <w:tc>
          <w:tcPr>
            <w:tcW w:type="dxa" w:w="1945"/>
          </w:tcPr>
          <w:p>
            <w:pPr>
              <w:spacing w:after="0"/>
              <w:jc w:val="right"/>
            </w:pPr>
            <w:r>
              <w:rPr>
                <w:sz w:val="16"/>
              </w:rPr>
              <w:t>$1,089,045.58</w:t>
            </w:r>
          </w:p>
        </w:tc>
        <w:tc>
          <w:tcPr>
            <w:tcW w:type="dxa" w:w="2366"/>
          </w:tcPr>
          <w:p>
            <w:pPr>
              <w:spacing w:after="0"/>
              <w:jc w:val="right"/>
            </w:pPr>
            <w:r>
              <w:rPr>
                <w:sz w:val="16"/>
              </w:rPr>
              <w:t>146; 16</w:t>
            </w:r>
          </w:p>
        </w:tc>
        <w:tc>
          <w:tcPr>
            <w:tcW w:type="dxa" w:w="850"/>
          </w:tcPr>
          <w:p>
            <w:pPr>
              <w:spacing w:after="0"/>
              <w:jc w:val="left"/>
            </w:pPr>
          </w:p>
        </w:tc>
      </w:tr>
      <w:tr>
        <w:trPr>
          <w:cantSplit/>
        </w:trPr>
        <w:tc>
          <w:tcPr>
            <w:tcW w:type="dxa" w:w="1828"/>
          </w:tcPr>
          <w:p>
            <w:pPr>
              <w:spacing w:after="0"/>
              <w:jc w:val="left"/>
            </w:pPr>
            <w:r>
              <w:rPr>
                <w:sz w:val="16"/>
              </w:rPr>
              <w:t>Tennyson town</w:t>
            </w:r>
          </w:p>
        </w:tc>
        <w:tc>
          <w:tcPr>
            <w:tcW w:type="dxa" w:w="891"/>
          </w:tcPr>
          <w:p>
            <w:pPr>
              <w:spacing w:after="0"/>
              <w:jc w:val="left"/>
            </w:pPr>
            <w:r>
              <w:rPr>
                <w:sz w:val="16"/>
              </w:rPr>
              <w:t>Town</w:t>
            </w:r>
          </w:p>
        </w:tc>
        <w:tc>
          <w:tcPr>
            <w:tcW w:type="dxa" w:w="3467"/>
          </w:tcPr>
          <w:p>
            <w:pPr>
              <w:spacing w:after="0"/>
              <w:jc w:val="left"/>
            </w:pPr>
            <w:r>
              <w:rPr>
                <w:sz w:val="16"/>
              </w:rPr>
              <w:t>Approved, expires 2028-03-06</w:t>
            </w:r>
          </w:p>
        </w:tc>
        <w:tc>
          <w:tcPr>
            <w:tcW w:type="dxa" w:w="2765"/>
          </w:tcPr>
          <w:p>
            <w:pPr>
              <w:spacing w:after="0"/>
              <w:jc w:val="right"/>
            </w:pPr>
            <w:r>
              <w:rPr>
                <w:sz w:val="16"/>
              </w:rPr>
              <w:t>FMA RL 0, SRL 0; any 0</w:t>
            </w:r>
          </w:p>
        </w:tc>
        <w:tc>
          <w:tcPr>
            <w:tcW w:type="dxa" w:w="1945"/>
          </w:tcPr>
          <w:p>
            <w:pPr>
              <w:spacing w:after="0"/>
              <w:jc w:val="right"/>
            </w:pPr>
            <w:r>
              <w:rPr>
                <w:sz w:val="16"/>
              </w:rPr>
              <w:t>$39,683.28</w:t>
            </w:r>
          </w:p>
        </w:tc>
        <w:tc>
          <w:tcPr>
            <w:tcW w:type="dxa" w:w="2366"/>
          </w:tcPr>
          <w:p>
            <w:pPr>
              <w:spacing w:after="0"/>
              <w:jc w:val="right"/>
            </w:pPr>
            <w:r>
              <w:rPr>
                <w:sz w:val="16"/>
              </w:rPr>
              <w:t>14; 1</w:t>
            </w:r>
          </w:p>
        </w:tc>
        <w:tc>
          <w:tcPr>
            <w:tcW w:type="dxa" w:w="850"/>
          </w:tcPr>
          <w:p>
            <w:pPr>
              <w:spacing w:after="0"/>
              <w:jc w:val="left"/>
            </w:pPr>
          </w:p>
        </w:tc>
      </w:tr>
    </w:tbl>
    <w:p>
      <w:pPr>
        <w:spacing w:after="40" w:before="60"/>
      </w:pPr>
      <w:r>
        <w:rPr>
          <w:sz w:val="15"/>
        </w:rPr>
        <w:t>Member rows are whole NFIP communities and need not add up to the county total: a community that extends into another county is counted in full on each member row, while the county table counts only its part in this county.</w:t>
      </w:r>
    </w:p>
    <w:p>
      <w:pPr>
        <w:spacing w:after="40" w:before="0"/>
      </w:pPr>
      <w:r>
        <w:rPr>
          <w:sz w:val="15"/>
        </w:rPr>
        <w:t>School districts and special districts get a plan clock row only.</w:t>
      </w:r>
    </w:p>
    <w:p>
      <w:pPr>
        <w:spacing w:after="20" w:before="0"/>
      </w:pPr>
      <w:r>
        <w:rPr>
          <w:b/>
          <w:color w:val="555555"/>
          <w:sz w:val="15"/>
        </w:rPr>
        <w:t xml:space="preserve">Source: </w:t>
      </w:r>
      <w:r>
        <w:rPr>
          <w:color w:val="555555"/>
          <w:sz w:val="15"/>
        </w:rPr>
        <w:t xml:space="preserve">FEMA, </w:t>
      </w:r>
      <w:hyperlink r:id="rId11">
        <w:r>
          <w:rPr>
            <w:color w:val="1F4E99"/>
            <w:sz w:val="15"/>
            <w:u w:val="single"/>
          </w:rPr>
          <w:t>OpenFEMA HazardMitigationPlanStatuses v1</w:t>
        </w:r>
      </w:hyperlink>
      <w:r>
        <w:rPr>
          <w:color w:val="555555"/>
          <w:sz w:val="15"/>
        </w:rPr>
        <w:t xml:space="preserve">, version 2026-09-26T121003Z, pulled 2026-09-28, </w:t>
      </w:r>
      <w:hyperlink r:id="rId12">
        <w:r>
          <w:rPr>
            <w:color w:val="1F4E99"/>
            <w:sz w:val="15"/>
            <w:u w:val="single"/>
          </w:rPr>
          <w:t>https://www.fema.gov/api/open/v1/HazardMitigationPlanStatuses</w:t>
        </w:r>
      </w:hyperlink>
      <w:r>
        <w:rPr>
          <w:color w:val="555555"/>
          <w:sz w:val="15"/>
        </w:rPr>
        <w:t xml:space="preserve"> (API)</w:t>
      </w:r>
    </w:p>
    <w:p>
      <w:pPr>
        <w:spacing w:after="20" w:before="0"/>
      </w:pPr>
      <w:r>
        <w:rPr>
          <w:b/>
          <w:color w:val="555555"/>
          <w:sz w:val="15"/>
        </w:rPr>
        <w:t xml:space="preserve">Source: </w:t>
      </w:r>
      <w:r>
        <w:rPr>
          <w:color w:val="555555"/>
          <w:sz w:val="15"/>
        </w:rPr>
        <w:t xml:space="preserve">FEMA, </w:t>
      </w:r>
      <w:hyperlink r:id="rId22">
        <w:r>
          <w:rPr>
            <w:color w:val="1F4E99"/>
            <w:sz w:val="15"/>
            <w:u w:val="single"/>
          </w:rPr>
          <w:t>OpenFEMA NfipMultipleLossProperties v1</w:t>
        </w:r>
      </w:hyperlink>
      <w:r>
        <w:rPr>
          <w:color w:val="555555"/>
          <w:sz w:val="15"/>
        </w:rPr>
        <w:t xml:space="preserve">, version 2026-08-04T164045Z, pulled 2026-09-28, </w:t>
      </w:r>
      <w:hyperlink r:id="rId23">
        <w:r>
          <w:rPr>
            <w:color w:val="1F4E99"/>
            <w:sz w:val="15"/>
            <w:u w:val="single"/>
          </w:rPr>
          <w:t>https://www.fema.gov/api/open/v1/NfipMultipleLossProperties</w:t>
        </w:r>
      </w:hyperlink>
      <w:r>
        <w:rPr>
          <w:color w:val="555555"/>
          <w:sz w:val="15"/>
        </w:rPr>
        <w:t xml:space="preserve"> (API)</w:t>
      </w:r>
    </w:p>
    <w:p>
      <w:pPr>
        <w:spacing w:after="20" w:before="0"/>
      </w:pPr>
      <w:r>
        <w:rPr>
          <w:b/>
          <w:color w:val="555555"/>
          <w:sz w:val="15"/>
        </w:rPr>
        <w:t xml:space="preserve">Source: </w:t>
      </w:r>
      <w:r>
        <w:rPr>
          <w:color w:val="555555"/>
          <w:sz w:val="15"/>
        </w:rPr>
        <w:t xml:space="preserve">FEMA, </w:t>
      </w:r>
      <w:hyperlink r:id="rId20">
        <w:r>
          <w:rPr>
            <w:color w:val="1F4E99"/>
            <w:sz w:val="15"/>
            <w:u w:val="single"/>
          </w:rPr>
          <w:t>OpenFEMA PublicAssistanceFundedProjectsSummaries v1</w:t>
        </w:r>
      </w:hyperlink>
      <w:r>
        <w:rPr>
          <w:color w:val="555555"/>
          <w:sz w:val="15"/>
        </w:rPr>
        <w:t xml:space="preserve">, version 2026-09-26T151157Z, pulled 2026-09-28, </w:t>
      </w:r>
      <w:hyperlink r:id="rId21">
        <w:r>
          <w:rPr>
            <w:color w:val="1F4E99"/>
            <w:sz w:val="15"/>
            <w:u w:val="single"/>
          </w:rPr>
          <w:t>https://www.fema.gov/api/open/v1/PublicAssistanceFundedProjectsSummaries</w:t>
        </w:r>
      </w:hyperlink>
      <w:r>
        <w:rPr>
          <w:color w:val="555555"/>
          <w:sz w:val="15"/>
        </w:rPr>
        <w:t xml:space="preserve"> (API)</w:t>
      </w:r>
    </w:p>
    <w:p>
      <w:pPr>
        <w:spacing w:after="20" w:before="0"/>
      </w:pPr>
      <w:r>
        <w:rPr>
          <w:b/>
          <w:color w:val="555555"/>
          <w:sz w:val="15"/>
        </w:rPr>
        <w:t xml:space="preserve">Source: </w:t>
      </w:r>
      <w:r>
        <w:rPr>
          <w:color w:val="555555"/>
          <w:sz w:val="15"/>
        </w:rPr>
        <w:t xml:space="preserve">NOAA NCEI, NOAA NCEI Storm Events Database, details files (csvfiles v1.0), version c20260918, pulled 2026-09-28, </w:t>
      </w:r>
      <w:hyperlink r:id="rId15">
        <w:r>
          <w:rPr>
            <w:color w:val="1F4E99"/>
            <w:sz w:val="15"/>
            <w:u w:val="single"/>
          </w:rPr>
          <w:t>https://www.ncei.noaa.gov/pub/data/swdi/stormevents/csvfiles/</w:t>
        </w:r>
      </w:hyperlink>
    </w:p>
    <w:p>
      <w:pPr>
        <w:spacing w:after="80" w:before="0"/>
      </w:pPr>
    </w:p>
    <w:p>
      <w:pPr>
        <w:pStyle w:val="Heading2"/>
        <w:keepNext/>
        <w:spacing w:after="80"/>
      </w:pPr>
      <w:r>
        <w:rPr/>
        <w:t>Supports B2-a and B2-b: assets and impacts</w:t>
      </w:r>
    </w:p>
    <w:p>
      <w:pPr>
        <w:spacing w:after="80" w:before="0"/>
      </w:pPr>
      <w:r>
        <w:rPr/>
        <w:t>Local data required</w:t>
      </w:r>
    </w:p>
    <w:p>
      <w:pPr>
        <w:spacing w:after="80" w:before="0"/>
      </w:pPr>
      <w:r>
        <w:rPr/>
        <w:t>County-level starter. The plan must describe impacts for each participant and its own assets.</w:t>
      </w:r>
    </w:p>
    <w:p>
      <w:pPr>
        <w:pStyle w:val="ListBullet"/>
        <w:spacing w:after="20"/>
      </w:pPr>
      <w:r>
        <w:rPr/>
        <w:t>Critical facilities and lifelines per hazard</w:t>
      </w:r>
    </w:p>
    <w:p>
      <w:pPr>
        <w:pStyle w:val="ListBullet"/>
        <w:spacing w:after="20"/>
      </w:pPr>
      <w:r>
        <w:rPr/>
        <w:t>A problem statement per participant per hazard</w:t>
      </w:r>
    </w:p>
    <w:p>
      <w:pPr>
        <w:pStyle w:val="ListBullet"/>
        <w:spacing w:after="20"/>
      </w:pPr>
      <w:r>
        <w:rPr/>
        <w:t>Changes in development in hazard-prone areas since the last approval, or a statement of none (E1-a)</w:t>
      </w:r>
    </w:p>
    <w:p>
      <w:pPr>
        <w:pStyle w:val="ListBullet"/>
        <w:spacing w:after="20"/>
      </w:pPr>
      <w:r>
        <w:rPr/>
        <w:t>Future assets</w:t>
      </w:r>
    </w:p>
    <w:p>
      <w:pPr>
        <w:spacing w:after="40" w:before="0"/>
      </w:pPr>
    </w:p>
    <w:p>
      <w:pPr>
        <w:pStyle w:val="Heading3"/>
        <w:keepNext/>
        <w:spacing w:after="80"/>
      </w:pPr>
      <w:r>
        <w:rPr/>
        <w:t>County-level starter: exposure, expected annual loss and damage since the plan</w:t>
      </w:r>
    </w:p>
    <w:tbl>
      <w:tblPr>
        <w:tblW w:type="auto" w:w="0"/>
        <w:jc w:val="left"/>
        <w:tblBorders>
          <w:top w:val="single" w:sz="4" w:space="0" w:color="808080"/>
          <w:left w:val="single" w:sz="4" w:space="0" w:color="808080"/>
          <w:bottom w:val="single" w:sz="4" w:space="0" w:color="808080"/>
          <w:right w:val="single" w:sz="4" w:space="0" w:color="808080"/>
          <w:insideH w:val="single" w:sz="4" w:space="0" w:color="808080"/>
          <w:insideV w:val="single" w:sz="4" w:space="0" w:color="808080"/>
        </w:tblBorders>
        <w:tblLayout w:type="fixed"/>
        <w:tblCellMar>
          <w:top w:w="15" w:type="dxa"/>
          <w:left w:w="60" w:type="dxa"/>
          <w:bottom w:w="15" w:type="dxa"/>
          <w:right w:w="60" w:type="dxa"/>
        </w:tblCellMar>
        <w:tblLook w:firstColumn="1" w:firstRow="1" w:lastColumn="0" w:lastRow="0" w:noHBand="0" w:noVBand="1" w:val="04A0"/>
        <w:tblCaption w:val="County-level starter: exposure, expected annual loss and damage since the plan"/>
        <w:tblDescription w:val="Hazard Plain table b2ab"/>
      </w:tblPr>
      <w:tblGrid>
        <w:gridCol w:w="1037"/>
        <w:gridCol w:w="1483"/>
        <w:gridCol w:w="1132"/>
        <w:gridCol w:w="1042"/>
        <w:gridCol w:w="1126"/>
        <w:gridCol w:w="1126"/>
        <w:gridCol w:w="1155"/>
        <w:gridCol w:w="1305"/>
        <w:gridCol w:w="1177"/>
        <w:gridCol w:w="1080"/>
        <w:gridCol w:w="1246"/>
        <w:gridCol w:w="1202"/>
      </w:tblGrid>
      <w:tr>
        <w:trPr>
          <w:cantSplit/>
          <w:tblHeader/>
        </w:trPr>
        <w:tc>
          <w:tcPr>
            <w:tcW w:type="dxa" w:w="1037"/>
            <w:shd w:val="clear" w:color="auto" w:fill="E8E8E8"/>
          </w:tcPr>
          <w:p>
            <w:pPr>
              <w:spacing w:after="0"/>
              <w:jc w:val="left"/>
            </w:pPr>
            <w:r>
              <w:rPr>
                <w:b/>
                <w:sz w:val="16"/>
              </w:rPr>
              <w:t>Hazard</w:t>
            </w:r>
          </w:p>
        </w:tc>
        <w:tc>
          <w:tcPr>
            <w:tcW w:type="dxa" w:w="1483"/>
            <w:shd w:val="clear" w:color="auto" w:fill="E8E8E8"/>
          </w:tcPr>
          <w:p>
            <w:pPr>
              <w:spacing w:after="0"/>
              <w:jc w:val="right"/>
            </w:pPr>
            <w:r>
              <w:rPr>
                <w:b/>
                <w:sz w:val="16"/>
              </w:rPr>
              <w:t>Building exposure</w:t>
            </w:r>
          </w:p>
          <w:p>
            <w:pPr>
              <w:spacing w:after="0"/>
              <w:jc w:val="right"/>
            </w:pPr>
            <w:r>
              <w:rPr>
                <w:i/>
                <w:color w:val="555555"/>
                <w:sz w:val="14"/>
              </w:rPr>
              <w:t>modeled dollars</w:t>
            </w:r>
          </w:p>
        </w:tc>
        <w:tc>
          <w:tcPr>
            <w:tcW w:type="dxa" w:w="1132"/>
            <w:shd w:val="clear" w:color="auto" w:fill="E8E8E8"/>
          </w:tcPr>
          <w:p>
            <w:pPr>
              <w:spacing w:after="0"/>
              <w:jc w:val="right"/>
            </w:pPr>
            <w:r>
              <w:rPr>
                <w:b/>
                <w:sz w:val="16"/>
              </w:rPr>
              <w:t>Agriculture exposure</w:t>
            </w:r>
          </w:p>
          <w:p>
            <w:pPr>
              <w:spacing w:after="0"/>
              <w:jc w:val="right"/>
            </w:pPr>
            <w:r>
              <w:rPr>
                <w:i/>
                <w:color w:val="555555"/>
                <w:sz w:val="14"/>
              </w:rPr>
              <w:t>modeled dollars</w:t>
            </w:r>
          </w:p>
        </w:tc>
        <w:tc>
          <w:tcPr>
            <w:tcW w:type="dxa" w:w="1042"/>
            <w:shd w:val="clear" w:color="auto" w:fill="E8E8E8"/>
          </w:tcPr>
          <w:p>
            <w:pPr>
              <w:spacing w:after="0"/>
              <w:jc w:val="right"/>
            </w:pPr>
            <w:r>
              <w:rPr>
                <w:b/>
                <w:sz w:val="16"/>
              </w:rPr>
              <w:t>Population exposed</w:t>
            </w:r>
          </w:p>
          <w:p>
            <w:pPr>
              <w:spacing w:after="0"/>
              <w:jc w:val="right"/>
            </w:pPr>
            <w:r>
              <w:rPr>
                <w:i/>
                <w:color w:val="555555"/>
                <w:sz w:val="14"/>
              </w:rPr>
              <w:t>people</w:t>
            </w:r>
          </w:p>
        </w:tc>
        <w:tc>
          <w:tcPr>
            <w:tcW w:type="dxa" w:w="1126"/>
            <w:shd w:val="clear" w:color="auto" w:fill="E8E8E8"/>
          </w:tcPr>
          <w:p>
            <w:pPr>
              <w:spacing w:after="0"/>
              <w:jc w:val="right"/>
            </w:pPr>
            <w:r>
              <w:rPr>
                <w:b/>
                <w:sz w:val="16"/>
              </w:rPr>
              <w:t>EAL buildings</w:t>
            </w:r>
          </w:p>
          <w:p>
            <w:pPr>
              <w:spacing w:after="0"/>
              <w:jc w:val="right"/>
            </w:pPr>
            <w:r>
              <w:rPr>
                <w:i/>
                <w:color w:val="555555"/>
                <w:sz w:val="14"/>
              </w:rPr>
              <w:t>modeled dollars per year</w:t>
            </w:r>
          </w:p>
        </w:tc>
        <w:tc>
          <w:tcPr>
            <w:tcW w:type="dxa" w:w="1126"/>
            <w:shd w:val="clear" w:color="auto" w:fill="E8E8E8"/>
          </w:tcPr>
          <w:p>
            <w:pPr>
              <w:spacing w:after="0"/>
              <w:jc w:val="right"/>
            </w:pPr>
            <w:r>
              <w:rPr>
                <w:b/>
                <w:sz w:val="16"/>
              </w:rPr>
              <w:t>EAL agriculture</w:t>
            </w:r>
          </w:p>
          <w:p>
            <w:pPr>
              <w:spacing w:after="0"/>
              <w:jc w:val="right"/>
            </w:pPr>
            <w:r>
              <w:rPr>
                <w:i/>
                <w:color w:val="555555"/>
                <w:sz w:val="14"/>
              </w:rPr>
              <w:t>modeled dollars per year</w:t>
            </w:r>
          </w:p>
        </w:tc>
        <w:tc>
          <w:tcPr>
            <w:tcW w:type="dxa" w:w="1155"/>
            <w:shd w:val="clear" w:color="auto" w:fill="E8E8E8"/>
          </w:tcPr>
          <w:p>
            <w:pPr>
              <w:spacing w:after="0"/>
              <w:jc w:val="right"/>
            </w:pPr>
            <w:r>
              <w:rPr>
                <w:b/>
                <w:sz w:val="16"/>
              </w:rPr>
              <w:t>EAL population equivalence</w:t>
            </w:r>
          </w:p>
          <w:p>
            <w:pPr>
              <w:spacing w:after="0"/>
              <w:jc w:val="right"/>
            </w:pPr>
            <w:r>
              <w:rPr>
                <w:i/>
                <w:color w:val="555555"/>
                <w:sz w:val="14"/>
              </w:rPr>
              <w:t>statistical value of life and injury, $13.7M per life, not property damage</w:t>
            </w:r>
          </w:p>
        </w:tc>
        <w:tc>
          <w:tcPr>
            <w:tcW w:type="dxa" w:w="1305"/>
            <w:shd w:val="clear" w:color="auto" w:fill="E8E8E8"/>
          </w:tcPr>
          <w:p>
            <w:pPr>
              <w:spacing w:after="0"/>
              <w:jc w:val="right"/>
            </w:pPr>
            <w:r>
              <w:rPr>
                <w:b/>
                <w:sz w:val="16"/>
              </w:rPr>
              <w:t>EAL as % of exposure</w:t>
            </w:r>
          </w:p>
          <w:p>
            <w:pPr>
              <w:spacing w:after="0"/>
              <w:jc w:val="right"/>
            </w:pPr>
            <w:r>
              <w:rPr>
                <w:i/>
                <w:color w:val="555555"/>
                <w:sz w:val="14"/>
              </w:rPr>
              <w:t>buildings; agriculture where noted</w:t>
            </w:r>
          </w:p>
        </w:tc>
        <w:tc>
          <w:tcPr>
            <w:tcW w:type="dxa" w:w="1177"/>
            <w:shd w:val="clear" w:color="auto" w:fill="E8E8E8"/>
          </w:tcPr>
          <w:p>
            <w:pPr>
              <w:spacing w:after="0"/>
              <w:jc w:val="right"/>
            </w:pPr>
            <w:r>
              <w:rPr>
                <w:b/>
                <w:sz w:val="16"/>
              </w:rPr>
              <w:t>Storm Events damage since 2023-03-07</w:t>
            </w:r>
          </w:p>
          <w:p>
            <w:pPr>
              <w:spacing w:after="0"/>
              <w:jc w:val="right"/>
            </w:pPr>
            <w:r>
              <w:rPr>
                <w:i/>
                <w:color w:val="555555"/>
                <w:sz w:val="14"/>
              </w:rPr>
              <w:t>county-coded records, property plus crops, nominal dollars</w:t>
            </w:r>
          </w:p>
        </w:tc>
        <w:tc>
          <w:tcPr>
            <w:tcW w:type="dxa" w:w="1080"/>
            <w:shd w:val="clear" w:color="auto" w:fill="E8E8E8"/>
          </w:tcPr>
          <w:p>
            <w:pPr>
              <w:spacing w:after="0"/>
              <w:jc w:val="right"/>
            </w:pPr>
            <w:r>
              <w:rPr>
                <w:b/>
                <w:sz w:val="16"/>
              </w:rPr>
              <w:t>Zone-level damage since plan</w:t>
            </w:r>
          </w:p>
          <w:p>
            <w:pPr>
              <w:spacing w:after="0"/>
              <w:jc w:val="right"/>
            </w:pPr>
            <w:r>
              <w:rPr>
                <w:i/>
                <w:color w:val="555555"/>
                <w:sz w:val="14"/>
              </w:rPr>
              <w:t>property plus crops, reported for the zone</w:t>
            </w:r>
          </w:p>
        </w:tc>
        <w:tc>
          <w:tcPr>
            <w:tcW w:type="dxa" w:w="1246"/>
            <w:shd w:val="clear" w:color="auto" w:fill="E8E8E8"/>
          </w:tcPr>
          <w:p>
            <w:pPr>
              <w:spacing w:after="0"/>
              <w:jc w:val="right"/>
            </w:pPr>
            <w:r>
              <w:rPr>
                <w:b/>
                <w:sz w:val="16"/>
              </w:rPr>
              <w:t>Public Assistance since plan</w:t>
            </w:r>
          </w:p>
          <w:p>
            <w:pPr>
              <w:spacing w:after="0"/>
              <w:jc w:val="right"/>
            </w:pPr>
            <w:r>
              <w:rPr>
                <w:i/>
                <w:color w:val="555555"/>
                <w:sz w:val="14"/>
              </w:rPr>
              <w:t>nominal dollars; see note</w:t>
            </w:r>
          </w:p>
        </w:tc>
        <w:tc>
          <w:tcPr>
            <w:tcW w:type="dxa" w:w="1202"/>
            <w:shd w:val="clear" w:color="auto" w:fill="E8E8E8"/>
          </w:tcPr>
          <w:p>
            <w:pPr>
              <w:spacing w:after="0"/>
              <w:jc w:val="left"/>
            </w:pPr>
            <w:r>
              <w:rPr>
                <w:b/>
                <w:sz w:val="16"/>
              </w:rPr>
              <w:t>Note</w:t>
            </w:r>
          </w:p>
        </w:tc>
      </w:tr>
      <w:tr>
        <w:trPr>
          <w:cantSplit/>
        </w:trPr>
        <w:tc>
          <w:tcPr>
            <w:tcW w:type="dxa" w:w="1037"/>
          </w:tcPr>
          <w:p>
            <w:pPr>
              <w:spacing w:after="0"/>
              <w:jc w:val="left"/>
            </w:pPr>
            <w:r>
              <w:rPr>
                <w:sz w:val="16"/>
              </w:rPr>
              <w:t>Avalanche</w:t>
            </w:r>
          </w:p>
        </w:tc>
        <w:tc>
          <w:tcPr>
            <w:tcW w:type="dxa" w:w="1483"/>
          </w:tcPr>
          <w:p>
            <w:pPr>
              <w:spacing w:after="0"/>
              <w:jc w:val="right"/>
            </w:pPr>
          </w:p>
        </w:tc>
        <w:tc>
          <w:tcPr>
            <w:tcW w:type="dxa" w:w="1132"/>
          </w:tcPr>
          <w:p>
            <w:pPr>
              <w:spacing w:after="0"/>
              <w:jc w:val="right"/>
            </w:pPr>
          </w:p>
        </w:tc>
        <w:tc>
          <w:tcPr>
            <w:tcW w:type="dxa" w:w="1042"/>
          </w:tcPr>
          <w:p>
            <w:pPr>
              <w:spacing w:after="0"/>
              <w:jc w:val="right"/>
            </w:pPr>
          </w:p>
        </w:tc>
        <w:tc>
          <w:tcPr>
            <w:tcW w:type="dxa" w:w="1126"/>
          </w:tcPr>
          <w:p>
            <w:pPr>
              <w:spacing w:after="0"/>
              <w:jc w:val="right"/>
            </w:pPr>
          </w:p>
        </w:tc>
        <w:tc>
          <w:tcPr>
            <w:tcW w:type="dxa" w:w="1126"/>
          </w:tcPr>
          <w:p>
            <w:pPr>
              <w:spacing w:after="0"/>
              <w:jc w:val="right"/>
            </w:pPr>
          </w:p>
        </w:tc>
        <w:tc>
          <w:tcPr>
            <w:tcW w:type="dxa" w:w="1155"/>
          </w:tcPr>
          <w:p>
            <w:pPr>
              <w:spacing w:after="0"/>
              <w:jc w:val="right"/>
            </w:pPr>
          </w:p>
        </w:tc>
        <w:tc>
          <w:tcPr>
            <w:tcW w:type="dxa" w:w="1305"/>
          </w:tcPr>
          <w:p>
            <w:pPr>
              <w:spacing w:after="0"/>
              <w:jc w:val="right"/>
            </w:pPr>
          </w:p>
        </w:tc>
        <w:tc>
          <w:tcPr>
            <w:tcW w:type="dxa" w:w="1177"/>
          </w:tcPr>
          <w:p>
            <w:pPr>
              <w:spacing w:after="0"/>
              <w:jc w:val="right"/>
            </w:pPr>
          </w:p>
        </w:tc>
        <w:tc>
          <w:tcPr>
            <w:tcW w:type="dxa" w:w="1080"/>
          </w:tcPr>
          <w:p>
            <w:pPr>
              <w:spacing w:after="0"/>
              <w:jc w:val="right"/>
            </w:pPr>
          </w:p>
        </w:tc>
        <w:tc>
          <w:tcPr>
            <w:tcW w:type="dxa" w:w="1246"/>
          </w:tcPr>
          <w:p>
            <w:pPr>
              <w:spacing w:after="0"/>
              <w:jc w:val="right"/>
            </w:pPr>
          </w:p>
        </w:tc>
        <w:tc>
          <w:tcPr>
            <w:tcW w:type="dxa" w:w="1202"/>
          </w:tcPr>
          <w:p>
            <w:pPr>
              <w:spacing w:after="0"/>
              <w:jc w:val="left"/>
            </w:pPr>
            <w:r>
              <w:rPr>
                <w:sz w:val="16"/>
              </w:rPr>
              <w:t>Not Applicable in NRI for this county</w:t>
            </w:r>
          </w:p>
        </w:tc>
      </w:tr>
      <w:tr>
        <w:trPr>
          <w:cantSplit/>
        </w:trPr>
        <w:tc>
          <w:tcPr>
            <w:tcW w:type="dxa" w:w="1037"/>
          </w:tcPr>
          <w:p>
            <w:pPr>
              <w:spacing w:after="0"/>
              <w:jc w:val="left"/>
            </w:pPr>
            <w:r>
              <w:rPr>
                <w:sz w:val="16"/>
              </w:rPr>
              <w:t>Coastal Flooding</w:t>
            </w:r>
          </w:p>
        </w:tc>
        <w:tc>
          <w:tcPr>
            <w:tcW w:type="dxa" w:w="1483"/>
          </w:tcPr>
          <w:p>
            <w:pPr>
              <w:spacing w:after="0"/>
              <w:jc w:val="right"/>
            </w:pPr>
          </w:p>
        </w:tc>
        <w:tc>
          <w:tcPr>
            <w:tcW w:type="dxa" w:w="1132"/>
          </w:tcPr>
          <w:p>
            <w:pPr>
              <w:spacing w:after="0"/>
              <w:jc w:val="right"/>
            </w:pPr>
          </w:p>
        </w:tc>
        <w:tc>
          <w:tcPr>
            <w:tcW w:type="dxa" w:w="1042"/>
          </w:tcPr>
          <w:p>
            <w:pPr>
              <w:spacing w:after="0"/>
              <w:jc w:val="right"/>
            </w:pPr>
          </w:p>
        </w:tc>
        <w:tc>
          <w:tcPr>
            <w:tcW w:type="dxa" w:w="1126"/>
          </w:tcPr>
          <w:p>
            <w:pPr>
              <w:spacing w:after="0"/>
              <w:jc w:val="right"/>
            </w:pPr>
          </w:p>
        </w:tc>
        <w:tc>
          <w:tcPr>
            <w:tcW w:type="dxa" w:w="1126"/>
          </w:tcPr>
          <w:p>
            <w:pPr>
              <w:spacing w:after="0"/>
              <w:jc w:val="right"/>
            </w:pPr>
          </w:p>
        </w:tc>
        <w:tc>
          <w:tcPr>
            <w:tcW w:type="dxa" w:w="1155"/>
          </w:tcPr>
          <w:p>
            <w:pPr>
              <w:spacing w:after="0"/>
              <w:jc w:val="right"/>
            </w:pPr>
          </w:p>
        </w:tc>
        <w:tc>
          <w:tcPr>
            <w:tcW w:type="dxa" w:w="1305"/>
          </w:tcPr>
          <w:p>
            <w:pPr>
              <w:spacing w:after="0"/>
              <w:jc w:val="right"/>
            </w:pPr>
          </w:p>
        </w:tc>
        <w:tc>
          <w:tcPr>
            <w:tcW w:type="dxa" w:w="1177"/>
          </w:tcPr>
          <w:p>
            <w:pPr>
              <w:spacing w:after="0"/>
              <w:jc w:val="right"/>
            </w:pPr>
          </w:p>
        </w:tc>
        <w:tc>
          <w:tcPr>
            <w:tcW w:type="dxa" w:w="1080"/>
          </w:tcPr>
          <w:p>
            <w:pPr>
              <w:spacing w:after="0"/>
              <w:jc w:val="right"/>
            </w:pPr>
          </w:p>
        </w:tc>
        <w:tc>
          <w:tcPr>
            <w:tcW w:type="dxa" w:w="1246"/>
          </w:tcPr>
          <w:p>
            <w:pPr>
              <w:spacing w:after="0"/>
              <w:jc w:val="right"/>
            </w:pPr>
          </w:p>
        </w:tc>
        <w:tc>
          <w:tcPr>
            <w:tcW w:type="dxa" w:w="1202"/>
          </w:tcPr>
          <w:p>
            <w:pPr>
              <w:spacing w:after="0"/>
              <w:jc w:val="left"/>
            </w:pPr>
            <w:r>
              <w:rPr>
                <w:sz w:val="16"/>
              </w:rPr>
              <w:t>Not Applicable in NRI for this county</w:t>
            </w:r>
          </w:p>
        </w:tc>
      </w:tr>
      <w:tr>
        <w:trPr>
          <w:cantSplit/>
        </w:trPr>
        <w:tc>
          <w:tcPr>
            <w:tcW w:type="dxa" w:w="1037"/>
          </w:tcPr>
          <w:p>
            <w:pPr>
              <w:spacing w:after="0"/>
              <w:jc w:val="left"/>
            </w:pPr>
            <w:r>
              <w:rPr>
                <w:sz w:val="16"/>
              </w:rPr>
              <w:t>Cold Wave</w:t>
            </w:r>
          </w:p>
        </w:tc>
        <w:tc>
          <w:tcPr>
            <w:tcW w:type="dxa" w:w="1483"/>
          </w:tcPr>
          <w:p>
            <w:pPr>
              <w:spacing w:after="0"/>
              <w:jc w:val="right"/>
            </w:pPr>
            <w:r>
              <w:rPr>
                <w:sz w:val="16"/>
              </w:rPr>
              <w:t>$14,736,973,122</w:t>
            </w:r>
          </w:p>
        </w:tc>
        <w:tc>
          <w:tcPr>
            <w:tcW w:type="dxa" w:w="1132"/>
          </w:tcPr>
          <w:p>
            <w:pPr>
              <w:spacing w:after="0"/>
              <w:jc w:val="right"/>
            </w:pPr>
            <w:r>
              <w:rPr>
                <w:sz w:val="16"/>
              </w:rPr>
              <w:t>$63,661,886</w:t>
            </w:r>
          </w:p>
        </w:tc>
        <w:tc>
          <w:tcPr>
            <w:tcW w:type="dxa" w:w="1042"/>
          </w:tcPr>
          <w:p>
            <w:pPr>
              <w:spacing w:after="0"/>
              <w:jc w:val="right"/>
            </w:pPr>
            <w:r>
              <w:rPr>
                <w:sz w:val="16"/>
              </w:rPr>
              <w:t>63,877</w:t>
            </w:r>
          </w:p>
        </w:tc>
        <w:tc>
          <w:tcPr>
            <w:tcW w:type="dxa" w:w="1126"/>
          </w:tcPr>
          <w:p>
            <w:pPr>
              <w:spacing w:after="0"/>
              <w:jc w:val="right"/>
            </w:pPr>
            <w:r>
              <w:rPr>
                <w:sz w:val="16"/>
              </w:rPr>
              <w:t>$204</w:t>
            </w:r>
          </w:p>
        </w:tc>
        <w:tc>
          <w:tcPr>
            <w:tcW w:type="dxa" w:w="1126"/>
          </w:tcPr>
          <w:p>
            <w:pPr>
              <w:spacing w:after="0"/>
              <w:jc w:val="right"/>
            </w:pPr>
            <w:r>
              <w:rPr>
                <w:sz w:val="16"/>
              </w:rPr>
              <w:t>$23,642</w:t>
            </w:r>
          </w:p>
        </w:tc>
        <w:tc>
          <w:tcPr>
            <w:tcW w:type="dxa" w:w="1155"/>
          </w:tcPr>
          <w:p>
            <w:pPr>
              <w:spacing w:after="0"/>
              <w:jc w:val="right"/>
            </w:pPr>
            <w:r>
              <w:rPr>
                <w:sz w:val="16"/>
              </w:rPr>
              <w:t>$695,993</w:t>
            </w:r>
          </w:p>
        </w:tc>
        <w:tc>
          <w:tcPr>
            <w:tcW w:type="dxa" w:w="1305"/>
          </w:tcPr>
          <w:p>
            <w:pPr>
              <w:spacing w:after="0"/>
              <w:jc w:val="right"/>
            </w:pPr>
            <w:r>
              <w:rPr>
                <w:sz w:val="16"/>
              </w:rPr>
              <w:t>under 0.0001%</w:t>
            </w:r>
          </w:p>
        </w:tc>
        <w:tc>
          <w:tcPr>
            <w:tcW w:type="dxa" w:w="1177"/>
          </w:tcPr>
          <w:p>
            <w:pPr>
              <w:spacing w:after="0"/>
              <w:jc w:val="right"/>
            </w:pPr>
          </w:p>
        </w:tc>
        <w:tc>
          <w:tcPr>
            <w:tcW w:type="dxa" w:w="1080"/>
          </w:tcPr>
          <w:p>
            <w:pPr>
              <w:spacing w:after="0"/>
              <w:jc w:val="right"/>
            </w:pPr>
            <w:r>
              <w:rPr>
                <w:sz w:val="16"/>
              </w:rPr>
              <w:t>$0</w:t>
            </w:r>
          </w:p>
        </w:tc>
        <w:tc>
          <w:tcPr>
            <w:tcW w:type="dxa" w:w="1246"/>
          </w:tcPr>
          <w:p>
            <w:pPr>
              <w:spacing w:after="0"/>
              <w:jc w:val="right"/>
            </w:pPr>
          </w:p>
        </w:tc>
        <w:tc>
          <w:tcPr>
            <w:tcW w:type="dxa" w:w="1202"/>
          </w:tcPr>
          <w:p>
            <w:pPr>
              <w:spacing w:after="0"/>
              <w:jc w:val="left"/>
            </w:pPr>
          </w:p>
        </w:tc>
      </w:tr>
      <w:tr>
        <w:trPr>
          <w:cantSplit/>
        </w:trPr>
        <w:tc>
          <w:tcPr>
            <w:tcW w:type="dxa" w:w="1037"/>
          </w:tcPr>
          <w:p>
            <w:pPr>
              <w:spacing w:after="0"/>
              <w:jc w:val="left"/>
            </w:pPr>
            <w:r>
              <w:rPr>
                <w:sz w:val="16"/>
              </w:rPr>
              <w:t>Drought</w:t>
            </w:r>
          </w:p>
        </w:tc>
        <w:tc>
          <w:tcPr>
            <w:tcW w:type="dxa" w:w="1483"/>
          </w:tcPr>
          <w:p>
            <w:pPr>
              <w:spacing w:after="0"/>
              <w:jc w:val="right"/>
            </w:pPr>
          </w:p>
        </w:tc>
        <w:tc>
          <w:tcPr>
            <w:tcW w:type="dxa" w:w="1132"/>
          </w:tcPr>
          <w:p>
            <w:pPr>
              <w:spacing w:after="0"/>
              <w:jc w:val="right"/>
            </w:pPr>
            <w:r>
              <w:rPr>
                <w:sz w:val="16"/>
              </w:rPr>
              <w:t>$50,483,403</w:t>
            </w:r>
          </w:p>
        </w:tc>
        <w:tc>
          <w:tcPr>
            <w:tcW w:type="dxa" w:w="1042"/>
          </w:tcPr>
          <w:p>
            <w:pPr>
              <w:spacing w:after="0"/>
              <w:jc w:val="right"/>
            </w:pPr>
          </w:p>
        </w:tc>
        <w:tc>
          <w:tcPr>
            <w:tcW w:type="dxa" w:w="1126"/>
          </w:tcPr>
          <w:p>
            <w:pPr>
              <w:spacing w:after="0"/>
              <w:jc w:val="right"/>
            </w:pPr>
          </w:p>
        </w:tc>
        <w:tc>
          <w:tcPr>
            <w:tcW w:type="dxa" w:w="1126"/>
          </w:tcPr>
          <w:p>
            <w:pPr>
              <w:spacing w:after="0"/>
              <w:jc w:val="right"/>
            </w:pPr>
            <w:r>
              <w:rPr>
                <w:sz w:val="16"/>
              </w:rPr>
              <w:t>$151,251</w:t>
            </w:r>
          </w:p>
        </w:tc>
        <w:tc>
          <w:tcPr>
            <w:tcW w:type="dxa" w:w="1155"/>
          </w:tcPr>
          <w:p>
            <w:pPr>
              <w:spacing w:after="0"/>
              <w:jc w:val="right"/>
            </w:pPr>
          </w:p>
        </w:tc>
        <w:tc>
          <w:tcPr>
            <w:tcW w:type="dxa" w:w="1305"/>
          </w:tcPr>
          <w:p>
            <w:pPr>
              <w:spacing w:after="0"/>
              <w:jc w:val="right"/>
            </w:pPr>
            <w:r>
              <w:rPr>
                <w:sz w:val="16"/>
              </w:rPr>
              <w:t>0.3% (agriculture)</w:t>
            </w:r>
          </w:p>
        </w:tc>
        <w:tc>
          <w:tcPr>
            <w:tcW w:type="dxa" w:w="1177"/>
          </w:tcPr>
          <w:p>
            <w:pPr>
              <w:spacing w:after="0"/>
              <w:jc w:val="right"/>
            </w:pPr>
          </w:p>
        </w:tc>
        <w:tc>
          <w:tcPr>
            <w:tcW w:type="dxa" w:w="1080"/>
          </w:tcPr>
          <w:p>
            <w:pPr>
              <w:spacing w:after="0"/>
              <w:jc w:val="right"/>
            </w:pPr>
            <w:r>
              <w:rPr>
                <w:sz w:val="16"/>
              </w:rPr>
              <w:t>$0</w:t>
            </w:r>
          </w:p>
        </w:tc>
        <w:tc>
          <w:tcPr>
            <w:tcW w:type="dxa" w:w="1246"/>
          </w:tcPr>
          <w:p>
            <w:pPr>
              <w:spacing w:after="0"/>
              <w:jc w:val="right"/>
            </w:pPr>
          </w:p>
        </w:tc>
        <w:tc>
          <w:tcPr>
            <w:tcW w:type="dxa" w:w="1202"/>
          </w:tcPr>
          <w:p>
            <w:pPr>
              <w:spacing w:after="0"/>
              <w:jc w:val="left"/>
            </w:pPr>
            <w:r>
              <w:rPr>
                <w:sz w:val="16"/>
              </w:rPr>
              <w:t>NRI has no building exposure for this hazard; agriculture shown</w:t>
            </w:r>
          </w:p>
        </w:tc>
      </w:tr>
      <w:tr>
        <w:trPr>
          <w:cantSplit/>
        </w:trPr>
        <w:tc>
          <w:tcPr>
            <w:tcW w:type="dxa" w:w="1037"/>
          </w:tcPr>
          <w:p>
            <w:pPr>
              <w:spacing w:after="0"/>
              <w:jc w:val="left"/>
            </w:pPr>
            <w:r>
              <w:rPr>
                <w:sz w:val="16"/>
              </w:rPr>
              <w:t>Earthquake</w:t>
            </w:r>
          </w:p>
        </w:tc>
        <w:tc>
          <w:tcPr>
            <w:tcW w:type="dxa" w:w="1483"/>
          </w:tcPr>
          <w:p>
            <w:pPr>
              <w:spacing w:after="0"/>
              <w:jc w:val="right"/>
            </w:pPr>
            <w:r>
              <w:rPr>
                <w:sz w:val="16"/>
              </w:rPr>
              <w:t>$25,259,680,588</w:t>
            </w:r>
          </w:p>
        </w:tc>
        <w:tc>
          <w:tcPr>
            <w:tcW w:type="dxa" w:w="1132"/>
          </w:tcPr>
          <w:p>
            <w:pPr>
              <w:spacing w:after="0"/>
              <w:jc w:val="right"/>
            </w:pPr>
          </w:p>
        </w:tc>
        <w:tc>
          <w:tcPr>
            <w:tcW w:type="dxa" w:w="1042"/>
          </w:tcPr>
          <w:p>
            <w:pPr>
              <w:spacing w:after="0"/>
              <w:jc w:val="right"/>
            </w:pPr>
            <w:r>
              <w:rPr>
                <w:sz w:val="16"/>
              </w:rPr>
              <w:t>63,898</w:t>
            </w:r>
          </w:p>
        </w:tc>
        <w:tc>
          <w:tcPr>
            <w:tcW w:type="dxa" w:w="1126"/>
          </w:tcPr>
          <w:p>
            <w:pPr>
              <w:spacing w:after="0"/>
              <w:jc w:val="right"/>
            </w:pPr>
            <w:r>
              <w:rPr>
                <w:sz w:val="16"/>
              </w:rPr>
              <w:t>$4,698,842</w:t>
            </w:r>
          </w:p>
        </w:tc>
        <w:tc>
          <w:tcPr>
            <w:tcW w:type="dxa" w:w="1126"/>
          </w:tcPr>
          <w:p>
            <w:pPr>
              <w:spacing w:after="0"/>
              <w:jc w:val="right"/>
            </w:pPr>
          </w:p>
        </w:tc>
        <w:tc>
          <w:tcPr>
            <w:tcW w:type="dxa" w:w="1155"/>
          </w:tcPr>
          <w:p>
            <w:pPr>
              <w:spacing w:after="0"/>
              <w:jc w:val="right"/>
            </w:pPr>
            <w:r>
              <w:rPr>
                <w:sz w:val="16"/>
              </w:rPr>
              <w:t>$1,253,299</w:t>
            </w:r>
          </w:p>
        </w:tc>
        <w:tc>
          <w:tcPr>
            <w:tcW w:type="dxa" w:w="1305"/>
          </w:tcPr>
          <w:p>
            <w:pPr>
              <w:spacing w:after="0"/>
              <w:jc w:val="right"/>
            </w:pPr>
            <w:r>
              <w:rPr>
                <w:sz w:val="16"/>
              </w:rPr>
              <w:t>0.0186%</w:t>
            </w:r>
          </w:p>
        </w:tc>
        <w:tc>
          <w:tcPr>
            <w:tcW w:type="dxa" w:w="1177"/>
          </w:tcPr>
          <w:p>
            <w:pPr>
              <w:spacing w:after="0"/>
              <w:jc w:val="right"/>
            </w:pPr>
          </w:p>
        </w:tc>
        <w:tc>
          <w:tcPr>
            <w:tcW w:type="dxa" w:w="1080"/>
          </w:tcPr>
          <w:p>
            <w:pPr>
              <w:spacing w:after="0"/>
              <w:jc w:val="right"/>
            </w:pPr>
          </w:p>
        </w:tc>
        <w:tc>
          <w:tcPr>
            <w:tcW w:type="dxa" w:w="1246"/>
          </w:tcPr>
          <w:p>
            <w:pPr>
              <w:spacing w:after="0"/>
              <w:jc w:val="right"/>
            </w:pPr>
          </w:p>
        </w:tc>
        <w:tc>
          <w:tcPr>
            <w:tcW w:type="dxa" w:w="1202"/>
          </w:tcPr>
          <w:p>
            <w:pPr>
              <w:spacing w:after="0"/>
              <w:jc w:val="left"/>
            </w:pPr>
          </w:p>
        </w:tc>
      </w:tr>
      <w:tr>
        <w:trPr>
          <w:cantSplit/>
        </w:trPr>
        <w:tc>
          <w:tcPr>
            <w:tcW w:type="dxa" w:w="1037"/>
          </w:tcPr>
          <w:p>
            <w:pPr>
              <w:spacing w:after="0"/>
              <w:jc w:val="left"/>
            </w:pPr>
            <w:r>
              <w:rPr>
                <w:sz w:val="16"/>
              </w:rPr>
              <w:t>Hail</w:t>
            </w:r>
          </w:p>
        </w:tc>
        <w:tc>
          <w:tcPr>
            <w:tcW w:type="dxa" w:w="1483"/>
          </w:tcPr>
          <w:p>
            <w:pPr>
              <w:spacing w:after="0"/>
              <w:jc w:val="right"/>
            </w:pPr>
            <w:r>
              <w:rPr>
                <w:sz w:val="16"/>
              </w:rPr>
              <w:t>$14,736,973,122</w:t>
            </w:r>
          </w:p>
        </w:tc>
        <w:tc>
          <w:tcPr>
            <w:tcW w:type="dxa" w:w="1132"/>
          </w:tcPr>
          <w:p>
            <w:pPr>
              <w:spacing w:after="0"/>
              <w:jc w:val="right"/>
            </w:pPr>
            <w:r>
              <w:rPr>
                <w:sz w:val="16"/>
              </w:rPr>
              <w:t>$63,661,886</w:t>
            </w:r>
          </w:p>
        </w:tc>
        <w:tc>
          <w:tcPr>
            <w:tcW w:type="dxa" w:w="1042"/>
          </w:tcPr>
          <w:p>
            <w:pPr>
              <w:spacing w:after="0"/>
              <w:jc w:val="right"/>
            </w:pPr>
            <w:r>
              <w:rPr>
                <w:sz w:val="16"/>
              </w:rPr>
              <w:t>63,877</w:t>
            </w:r>
          </w:p>
        </w:tc>
        <w:tc>
          <w:tcPr>
            <w:tcW w:type="dxa" w:w="1126"/>
          </w:tcPr>
          <w:p>
            <w:pPr>
              <w:spacing w:after="0"/>
              <w:jc w:val="right"/>
            </w:pPr>
            <w:r>
              <w:rPr>
                <w:sz w:val="16"/>
              </w:rPr>
              <w:t>$286,788</w:t>
            </w:r>
          </w:p>
        </w:tc>
        <w:tc>
          <w:tcPr>
            <w:tcW w:type="dxa" w:w="1126"/>
          </w:tcPr>
          <w:p>
            <w:pPr>
              <w:spacing w:after="0"/>
              <w:jc w:val="right"/>
            </w:pPr>
            <w:r>
              <w:rPr>
                <w:sz w:val="16"/>
              </w:rPr>
              <w:t>$2,433</w:t>
            </w:r>
          </w:p>
        </w:tc>
        <w:tc>
          <w:tcPr>
            <w:tcW w:type="dxa" w:w="1155"/>
          </w:tcPr>
          <w:p>
            <w:pPr>
              <w:spacing w:after="0"/>
              <w:jc w:val="right"/>
            </w:pPr>
            <w:r>
              <w:rPr>
                <w:sz w:val="16"/>
              </w:rPr>
              <w:t>$34,089</w:t>
            </w:r>
          </w:p>
        </w:tc>
        <w:tc>
          <w:tcPr>
            <w:tcW w:type="dxa" w:w="1305"/>
          </w:tcPr>
          <w:p>
            <w:pPr>
              <w:spacing w:after="0"/>
              <w:jc w:val="right"/>
            </w:pPr>
            <w:r>
              <w:rPr>
                <w:sz w:val="16"/>
              </w:rPr>
              <w:t>0.00195%</w:t>
            </w:r>
          </w:p>
        </w:tc>
        <w:tc>
          <w:tcPr>
            <w:tcW w:type="dxa" w:w="1177"/>
          </w:tcPr>
          <w:p>
            <w:pPr>
              <w:spacing w:after="0"/>
              <w:jc w:val="right"/>
            </w:pPr>
            <w:r>
              <w:rPr>
                <w:sz w:val="16"/>
              </w:rPr>
              <w:t>$0</w:t>
            </w:r>
          </w:p>
        </w:tc>
        <w:tc>
          <w:tcPr>
            <w:tcW w:type="dxa" w:w="1080"/>
          </w:tcPr>
          <w:p>
            <w:pPr>
              <w:spacing w:after="0"/>
              <w:jc w:val="right"/>
            </w:pPr>
          </w:p>
        </w:tc>
        <w:tc>
          <w:tcPr>
            <w:tcW w:type="dxa" w:w="1246"/>
          </w:tcPr>
          <w:p>
            <w:pPr>
              <w:spacing w:after="0"/>
              <w:jc w:val="right"/>
            </w:pPr>
          </w:p>
        </w:tc>
        <w:tc>
          <w:tcPr>
            <w:tcW w:type="dxa" w:w="1202"/>
          </w:tcPr>
          <w:p>
            <w:pPr>
              <w:spacing w:after="0"/>
              <w:jc w:val="left"/>
            </w:pPr>
          </w:p>
        </w:tc>
      </w:tr>
      <w:tr>
        <w:trPr>
          <w:cantSplit/>
        </w:trPr>
        <w:tc>
          <w:tcPr>
            <w:tcW w:type="dxa" w:w="1037"/>
          </w:tcPr>
          <w:p>
            <w:pPr>
              <w:spacing w:after="0"/>
              <w:jc w:val="left"/>
            </w:pPr>
            <w:r>
              <w:rPr>
                <w:sz w:val="16"/>
              </w:rPr>
              <w:t>Heat Wave</w:t>
            </w:r>
          </w:p>
        </w:tc>
        <w:tc>
          <w:tcPr>
            <w:tcW w:type="dxa" w:w="1483"/>
          </w:tcPr>
          <w:p>
            <w:pPr>
              <w:spacing w:after="0"/>
              <w:jc w:val="right"/>
            </w:pPr>
            <w:r>
              <w:rPr>
                <w:sz w:val="16"/>
              </w:rPr>
              <w:t>$14,736,973,122</w:t>
            </w:r>
          </w:p>
        </w:tc>
        <w:tc>
          <w:tcPr>
            <w:tcW w:type="dxa" w:w="1132"/>
          </w:tcPr>
          <w:p>
            <w:pPr>
              <w:spacing w:after="0"/>
              <w:jc w:val="right"/>
            </w:pPr>
            <w:r>
              <w:rPr>
                <w:sz w:val="16"/>
              </w:rPr>
              <w:t>$63,661,886</w:t>
            </w:r>
          </w:p>
        </w:tc>
        <w:tc>
          <w:tcPr>
            <w:tcW w:type="dxa" w:w="1042"/>
          </w:tcPr>
          <w:p>
            <w:pPr>
              <w:spacing w:after="0"/>
              <w:jc w:val="right"/>
            </w:pPr>
            <w:r>
              <w:rPr>
                <w:sz w:val="16"/>
              </w:rPr>
              <w:t>63,877</w:t>
            </w:r>
          </w:p>
        </w:tc>
        <w:tc>
          <w:tcPr>
            <w:tcW w:type="dxa" w:w="1126"/>
          </w:tcPr>
          <w:p>
            <w:pPr>
              <w:spacing w:after="0"/>
              <w:jc w:val="right"/>
            </w:pPr>
            <w:r>
              <w:rPr>
                <w:sz w:val="16"/>
              </w:rPr>
              <w:t>$9,298</w:t>
            </w:r>
          </w:p>
        </w:tc>
        <w:tc>
          <w:tcPr>
            <w:tcW w:type="dxa" w:w="1126"/>
          </w:tcPr>
          <w:p>
            <w:pPr>
              <w:spacing w:after="0"/>
              <w:jc w:val="right"/>
            </w:pPr>
            <w:r>
              <w:rPr>
                <w:sz w:val="16"/>
              </w:rPr>
              <w:t>$2</w:t>
            </w:r>
          </w:p>
        </w:tc>
        <w:tc>
          <w:tcPr>
            <w:tcW w:type="dxa" w:w="1155"/>
          </w:tcPr>
          <w:p>
            <w:pPr>
              <w:spacing w:after="0"/>
              <w:jc w:val="right"/>
            </w:pPr>
            <w:r>
              <w:rPr>
                <w:sz w:val="16"/>
              </w:rPr>
              <w:t>$1,419,165</w:t>
            </w:r>
          </w:p>
        </w:tc>
        <w:tc>
          <w:tcPr>
            <w:tcW w:type="dxa" w:w="1305"/>
          </w:tcPr>
          <w:p>
            <w:pPr>
              <w:spacing w:after="0"/>
              <w:jc w:val="right"/>
            </w:pPr>
            <w:r>
              <w:rPr>
                <w:sz w:val="16"/>
              </w:rPr>
              <w:t>under 0.0001%</w:t>
            </w:r>
          </w:p>
        </w:tc>
        <w:tc>
          <w:tcPr>
            <w:tcW w:type="dxa" w:w="1177"/>
          </w:tcPr>
          <w:p>
            <w:pPr>
              <w:spacing w:after="0"/>
              <w:jc w:val="right"/>
            </w:pPr>
          </w:p>
        </w:tc>
        <w:tc>
          <w:tcPr>
            <w:tcW w:type="dxa" w:w="1080"/>
          </w:tcPr>
          <w:p>
            <w:pPr>
              <w:spacing w:after="0"/>
              <w:jc w:val="right"/>
            </w:pPr>
            <w:r>
              <w:rPr>
                <w:sz w:val="16"/>
              </w:rPr>
              <w:t>$0</w:t>
            </w:r>
          </w:p>
        </w:tc>
        <w:tc>
          <w:tcPr>
            <w:tcW w:type="dxa" w:w="1246"/>
          </w:tcPr>
          <w:p>
            <w:pPr>
              <w:spacing w:after="0"/>
              <w:jc w:val="right"/>
            </w:pPr>
          </w:p>
        </w:tc>
        <w:tc>
          <w:tcPr>
            <w:tcW w:type="dxa" w:w="1202"/>
          </w:tcPr>
          <w:p>
            <w:pPr>
              <w:spacing w:after="0"/>
              <w:jc w:val="left"/>
            </w:pPr>
          </w:p>
        </w:tc>
      </w:tr>
      <w:tr>
        <w:trPr>
          <w:cantSplit/>
        </w:trPr>
        <w:tc>
          <w:tcPr>
            <w:tcW w:type="dxa" w:w="1037"/>
          </w:tcPr>
          <w:p>
            <w:pPr>
              <w:spacing w:after="0"/>
              <w:jc w:val="left"/>
            </w:pPr>
            <w:r>
              <w:rPr>
                <w:sz w:val="16"/>
              </w:rPr>
              <w:t>Hurricane</w:t>
            </w:r>
          </w:p>
        </w:tc>
        <w:tc>
          <w:tcPr>
            <w:tcW w:type="dxa" w:w="1483"/>
          </w:tcPr>
          <w:p>
            <w:pPr>
              <w:spacing w:after="0"/>
              <w:jc w:val="right"/>
            </w:pPr>
            <w:r>
              <w:rPr>
                <w:sz w:val="16"/>
              </w:rPr>
              <w:t>$13,827,052,222</w:t>
            </w:r>
          </w:p>
        </w:tc>
        <w:tc>
          <w:tcPr>
            <w:tcW w:type="dxa" w:w="1132"/>
          </w:tcPr>
          <w:p>
            <w:pPr>
              <w:spacing w:after="0"/>
              <w:jc w:val="right"/>
            </w:pPr>
            <w:r>
              <w:rPr>
                <w:sz w:val="16"/>
              </w:rPr>
              <w:t>$60,374,134</w:t>
            </w:r>
          </w:p>
        </w:tc>
        <w:tc>
          <w:tcPr>
            <w:tcW w:type="dxa" w:w="1042"/>
          </w:tcPr>
          <w:p>
            <w:pPr>
              <w:spacing w:after="0"/>
              <w:jc w:val="right"/>
            </w:pPr>
            <w:r>
              <w:rPr>
                <w:sz w:val="16"/>
              </w:rPr>
              <w:t>59,789</w:t>
            </w:r>
          </w:p>
        </w:tc>
        <w:tc>
          <w:tcPr>
            <w:tcW w:type="dxa" w:w="1126"/>
          </w:tcPr>
          <w:p>
            <w:pPr>
              <w:spacing w:after="0"/>
              <w:jc w:val="right"/>
            </w:pPr>
            <w:r>
              <w:rPr>
                <w:sz w:val="16"/>
              </w:rPr>
              <w:t>$7,110</w:t>
            </w:r>
          </w:p>
        </w:tc>
        <w:tc>
          <w:tcPr>
            <w:tcW w:type="dxa" w:w="1126"/>
          </w:tcPr>
          <w:p>
            <w:pPr>
              <w:spacing w:after="0"/>
              <w:jc w:val="right"/>
            </w:pPr>
            <w:r>
              <w:rPr>
                <w:sz w:val="16"/>
              </w:rPr>
              <w:t>$1,768</w:t>
            </w:r>
          </w:p>
        </w:tc>
        <w:tc>
          <w:tcPr>
            <w:tcW w:type="dxa" w:w="1155"/>
          </w:tcPr>
          <w:p>
            <w:pPr>
              <w:spacing w:after="0"/>
              <w:jc w:val="right"/>
            </w:pPr>
            <w:r>
              <w:rPr>
                <w:sz w:val="16"/>
              </w:rPr>
              <w:t>$48</w:t>
            </w:r>
          </w:p>
        </w:tc>
        <w:tc>
          <w:tcPr>
            <w:tcW w:type="dxa" w:w="1305"/>
          </w:tcPr>
          <w:p>
            <w:pPr>
              <w:spacing w:after="0"/>
              <w:jc w:val="right"/>
            </w:pPr>
            <w:r>
              <w:rPr>
                <w:sz w:val="16"/>
              </w:rPr>
              <w:t>under 0.0001%</w:t>
            </w:r>
          </w:p>
        </w:tc>
        <w:tc>
          <w:tcPr>
            <w:tcW w:type="dxa" w:w="1177"/>
          </w:tcPr>
          <w:p>
            <w:pPr>
              <w:spacing w:after="0"/>
              <w:jc w:val="right"/>
            </w:pPr>
          </w:p>
        </w:tc>
        <w:tc>
          <w:tcPr>
            <w:tcW w:type="dxa" w:w="1080"/>
          </w:tcPr>
          <w:p>
            <w:pPr>
              <w:spacing w:after="0"/>
              <w:jc w:val="right"/>
            </w:pPr>
          </w:p>
        </w:tc>
        <w:tc>
          <w:tcPr>
            <w:tcW w:type="dxa" w:w="1246"/>
          </w:tcPr>
          <w:p>
            <w:pPr>
              <w:spacing w:after="0"/>
              <w:jc w:val="right"/>
            </w:pPr>
          </w:p>
        </w:tc>
        <w:tc>
          <w:tcPr>
            <w:tcW w:type="dxa" w:w="1202"/>
          </w:tcPr>
          <w:p>
            <w:pPr>
              <w:spacing w:after="0"/>
              <w:jc w:val="left"/>
            </w:pPr>
          </w:p>
        </w:tc>
      </w:tr>
      <w:tr>
        <w:trPr>
          <w:cantSplit/>
        </w:trPr>
        <w:tc>
          <w:tcPr>
            <w:tcW w:type="dxa" w:w="1037"/>
          </w:tcPr>
          <w:p>
            <w:pPr>
              <w:spacing w:after="0"/>
              <w:jc w:val="left"/>
            </w:pPr>
            <w:r>
              <w:rPr>
                <w:sz w:val="16"/>
              </w:rPr>
              <w:t>Ice Storm</w:t>
            </w:r>
          </w:p>
        </w:tc>
        <w:tc>
          <w:tcPr>
            <w:tcW w:type="dxa" w:w="1483"/>
          </w:tcPr>
          <w:p>
            <w:pPr>
              <w:spacing w:after="0"/>
              <w:jc w:val="right"/>
            </w:pPr>
            <w:r>
              <w:rPr>
                <w:sz w:val="16"/>
              </w:rPr>
              <w:t>$14,734,831,144</w:t>
            </w:r>
          </w:p>
        </w:tc>
        <w:tc>
          <w:tcPr>
            <w:tcW w:type="dxa" w:w="1132"/>
          </w:tcPr>
          <w:p>
            <w:pPr>
              <w:spacing w:after="0"/>
              <w:jc w:val="right"/>
            </w:pPr>
          </w:p>
        </w:tc>
        <w:tc>
          <w:tcPr>
            <w:tcW w:type="dxa" w:w="1042"/>
          </w:tcPr>
          <w:p>
            <w:pPr>
              <w:spacing w:after="0"/>
              <w:jc w:val="right"/>
            </w:pPr>
            <w:r>
              <w:rPr>
                <w:sz w:val="16"/>
              </w:rPr>
              <w:t>63,863</w:t>
            </w:r>
          </w:p>
        </w:tc>
        <w:tc>
          <w:tcPr>
            <w:tcW w:type="dxa" w:w="1126"/>
          </w:tcPr>
          <w:p>
            <w:pPr>
              <w:spacing w:after="0"/>
              <w:jc w:val="right"/>
            </w:pPr>
            <w:r>
              <w:rPr>
                <w:sz w:val="16"/>
              </w:rPr>
              <w:t>$318,123</w:t>
            </w:r>
          </w:p>
        </w:tc>
        <w:tc>
          <w:tcPr>
            <w:tcW w:type="dxa" w:w="1126"/>
          </w:tcPr>
          <w:p>
            <w:pPr>
              <w:spacing w:after="0"/>
              <w:jc w:val="right"/>
            </w:pPr>
          </w:p>
        </w:tc>
        <w:tc>
          <w:tcPr>
            <w:tcW w:type="dxa" w:w="1155"/>
          </w:tcPr>
          <w:p>
            <w:pPr>
              <w:spacing w:after="0"/>
              <w:jc w:val="right"/>
            </w:pPr>
            <w:r>
              <w:rPr>
                <w:sz w:val="16"/>
              </w:rPr>
              <w:t>$125,766</w:t>
            </w:r>
          </w:p>
        </w:tc>
        <w:tc>
          <w:tcPr>
            <w:tcW w:type="dxa" w:w="1305"/>
          </w:tcPr>
          <w:p>
            <w:pPr>
              <w:spacing w:after="0"/>
              <w:jc w:val="right"/>
            </w:pPr>
            <w:r>
              <w:rPr>
                <w:sz w:val="16"/>
              </w:rPr>
              <w:t>0.00216%</w:t>
            </w:r>
          </w:p>
        </w:tc>
        <w:tc>
          <w:tcPr>
            <w:tcW w:type="dxa" w:w="1177"/>
          </w:tcPr>
          <w:p>
            <w:pPr>
              <w:spacing w:after="0"/>
              <w:jc w:val="right"/>
            </w:pPr>
          </w:p>
        </w:tc>
        <w:tc>
          <w:tcPr>
            <w:tcW w:type="dxa" w:w="1080"/>
          </w:tcPr>
          <w:p>
            <w:pPr>
              <w:spacing w:after="0"/>
              <w:jc w:val="right"/>
            </w:pPr>
          </w:p>
        </w:tc>
        <w:tc>
          <w:tcPr>
            <w:tcW w:type="dxa" w:w="1246"/>
          </w:tcPr>
          <w:p>
            <w:pPr>
              <w:spacing w:after="0"/>
              <w:jc w:val="right"/>
            </w:pPr>
          </w:p>
        </w:tc>
        <w:tc>
          <w:tcPr>
            <w:tcW w:type="dxa" w:w="1202"/>
          </w:tcPr>
          <w:p>
            <w:pPr>
              <w:spacing w:after="0"/>
              <w:jc w:val="left"/>
            </w:pPr>
          </w:p>
        </w:tc>
      </w:tr>
      <w:tr>
        <w:trPr>
          <w:cantSplit/>
        </w:trPr>
        <w:tc>
          <w:tcPr>
            <w:tcW w:type="dxa" w:w="1037"/>
          </w:tcPr>
          <w:p>
            <w:pPr>
              <w:spacing w:after="0"/>
              <w:jc w:val="left"/>
            </w:pPr>
            <w:r>
              <w:rPr>
                <w:sz w:val="16"/>
              </w:rPr>
              <w:t>Inland Flooding</w:t>
            </w:r>
          </w:p>
        </w:tc>
        <w:tc>
          <w:tcPr>
            <w:tcW w:type="dxa" w:w="1483"/>
          </w:tcPr>
          <w:p>
            <w:pPr>
              <w:spacing w:after="0"/>
              <w:jc w:val="right"/>
            </w:pPr>
            <w:r>
              <w:rPr>
                <w:sz w:val="16"/>
              </w:rPr>
              <w:t>$14,726,410,562</w:t>
            </w:r>
          </w:p>
        </w:tc>
        <w:tc>
          <w:tcPr>
            <w:tcW w:type="dxa" w:w="1132"/>
          </w:tcPr>
          <w:p>
            <w:pPr>
              <w:spacing w:after="0"/>
              <w:jc w:val="right"/>
            </w:pPr>
            <w:r>
              <w:rPr>
                <w:sz w:val="16"/>
              </w:rPr>
              <w:t>$19,503,433</w:t>
            </w:r>
          </w:p>
        </w:tc>
        <w:tc>
          <w:tcPr>
            <w:tcW w:type="dxa" w:w="1042"/>
          </w:tcPr>
          <w:p>
            <w:pPr>
              <w:spacing w:after="0"/>
              <w:jc w:val="right"/>
            </w:pPr>
            <w:r>
              <w:rPr>
                <w:sz w:val="16"/>
              </w:rPr>
              <w:t>2,701</w:t>
            </w:r>
          </w:p>
        </w:tc>
        <w:tc>
          <w:tcPr>
            <w:tcW w:type="dxa" w:w="1126"/>
          </w:tcPr>
          <w:p>
            <w:pPr>
              <w:spacing w:after="0"/>
              <w:jc w:val="right"/>
            </w:pPr>
            <w:r>
              <w:rPr>
                <w:sz w:val="16"/>
              </w:rPr>
              <w:t>$14,757,857</w:t>
            </w:r>
          </w:p>
        </w:tc>
        <w:tc>
          <w:tcPr>
            <w:tcW w:type="dxa" w:w="1126"/>
          </w:tcPr>
          <w:p>
            <w:pPr>
              <w:spacing w:after="0"/>
              <w:jc w:val="right"/>
            </w:pPr>
            <w:r>
              <w:rPr>
                <w:sz w:val="16"/>
              </w:rPr>
              <w:t>$16,311</w:t>
            </w:r>
          </w:p>
        </w:tc>
        <w:tc>
          <w:tcPr>
            <w:tcW w:type="dxa" w:w="1155"/>
          </w:tcPr>
          <w:p>
            <w:pPr>
              <w:spacing w:after="0"/>
              <w:jc w:val="right"/>
            </w:pPr>
            <w:r>
              <w:rPr>
                <w:sz w:val="16"/>
              </w:rPr>
              <w:t>$51,592</w:t>
            </w:r>
          </w:p>
        </w:tc>
        <w:tc>
          <w:tcPr>
            <w:tcW w:type="dxa" w:w="1305"/>
          </w:tcPr>
          <w:p>
            <w:pPr>
              <w:spacing w:after="0"/>
              <w:jc w:val="right"/>
            </w:pPr>
            <w:r>
              <w:rPr>
                <w:sz w:val="16"/>
              </w:rPr>
              <w:t>n/a (see note)</w:t>
            </w:r>
          </w:p>
        </w:tc>
        <w:tc>
          <w:tcPr>
            <w:tcW w:type="dxa" w:w="1177"/>
          </w:tcPr>
          <w:p>
            <w:pPr>
              <w:spacing w:after="0"/>
              <w:jc w:val="right"/>
            </w:pPr>
            <w:r>
              <w:rPr>
                <w:sz w:val="16"/>
              </w:rPr>
              <w:t>$125,000</w:t>
            </w:r>
          </w:p>
        </w:tc>
        <w:tc>
          <w:tcPr>
            <w:tcW w:type="dxa" w:w="1080"/>
          </w:tcPr>
          <w:p>
            <w:pPr>
              <w:spacing w:after="0"/>
              <w:jc w:val="right"/>
            </w:pPr>
          </w:p>
        </w:tc>
        <w:tc>
          <w:tcPr>
            <w:tcW w:type="dxa" w:w="1246"/>
          </w:tcPr>
          <w:p>
            <w:pPr>
              <w:spacing w:after="0"/>
              <w:jc w:val="right"/>
            </w:pPr>
            <w:r>
              <w:rPr>
                <w:sz w:val="16"/>
              </w:rPr>
              <w:t>$675,528.68</w:t>
            </w:r>
          </w:p>
        </w:tc>
        <w:tc>
          <w:tcPr>
            <w:tcW w:type="dxa" w:w="1202"/>
          </w:tcPr>
          <w:p>
            <w:pPr>
              <w:spacing w:after="0"/>
              <w:jc w:val="left"/>
            </w:pPr>
            <w:r>
              <w:rPr>
                <w:sz w:val="16"/>
              </w:rPr>
              <w:t>NRI counts the full building value of any census block with some flood loss; this is not the value of buildings in the floodplain. Use local FIRM overlays for B2-a/B2-b. EAL as % of exposure: n/a.</w:t>
            </w:r>
          </w:p>
        </w:tc>
      </w:tr>
      <w:tr>
        <w:trPr>
          <w:cantSplit/>
        </w:trPr>
        <w:tc>
          <w:tcPr>
            <w:tcW w:type="dxa" w:w="1037"/>
          </w:tcPr>
          <w:p>
            <w:pPr>
              <w:spacing w:after="0"/>
              <w:jc w:val="left"/>
            </w:pPr>
            <w:r>
              <w:rPr>
                <w:sz w:val="16"/>
              </w:rPr>
              <w:t>Landslide</w:t>
            </w:r>
          </w:p>
        </w:tc>
        <w:tc>
          <w:tcPr>
            <w:tcW w:type="dxa" w:w="1483"/>
          </w:tcPr>
          <w:p>
            <w:pPr>
              <w:spacing w:after="0"/>
              <w:jc w:val="right"/>
            </w:pPr>
            <w:r>
              <w:rPr>
                <w:sz w:val="16"/>
              </w:rPr>
              <w:t>$182,003,560</w:t>
            </w:r>
          </w:p>
        </w:tc>
        <w:tc>
          <w:tcPr>
            <w:tcW w:type="dxa" w:w="1132"/>
          </w:tcPr>
          <w:p>
            <w:pPr>
              <w:spacing w:after="0"/>
              <w:jc w:val="right"/>
            </w:pPr>
          </w:p>
        </w:tc>
        <w:tc>
          <w:tcPr>
            <w:tcW w:type="dxa" w:w="1042"/>
          </w:tcPr>
          <w:p>
            <w:pPr>
              <w:spacing w:after="0"/>
              <w:jc w:val="right"/>
            </w:pPr>
            <w:r>
              <w:rPr>
                <w:sz w:val="16"/>
              </w:rPr>
              <w:t>743</w:t>
            </w:r>
          </w:p>
        </w:tc>
        <w:tc>
          <w:tcPr>
            <w:tcW w:type="dxa" w:w="1126"/>
          </w:tcPr>
          <w:p>
            <w:pPr>
              <w:spacing w:after="0"/>
              <w:jc w:val="right"/>
            </w:pPr>
            <w:r>
              <w:rPr>
                <w:sz w:val="16"/>
              </w:rPr>
              <w:t>$46</w:t>
            </w:r>
          </w:p>
        </w:tc>
        <w:tc>
          <w:tcPr>
            <w:tcW w:type="dxa" w:w="1126"/>
          </w:tcPr>
          <w:p>
            <w:pPr>
              <w:spacing w:after="0"/>
              <w:jc w:val="right"/>
            </w:pPr>
          </w:p>
        </w:tc>
        <w:tc>
          <w:tcPr>
            <w:tcW w:type="dxa" w:w="1155"/>
          </w:tcPr>
          <w:p>
            <w:pPr>
              <w:spacing w:after="0"/>
              <w:jc w:val="right"/>
            </w:pPr>
            <w:r>
              <w:rPr>
                <w:sz w:val="16"/>
              </w:rPr>
              <w:t>$98</w:t>
            </w:r>
          </w:p>
        </w:tc>
        <w:tc>
          <w:tcPr>
            <w:tcW w:type="dxa" w:w="1305"/>
          </w:tcPr>
          <w:p>
            <w:pPr>
              <w:spacing w:after="0"/>
              <w:jc w:val="right"/>
            </w:pPr>
            <w:r>
              <w:rPr>
                <w:sz w:val="16"/>
              </w:rPr>
              <w:t>under 0.0001%</w:t>
            </w:r>
          </w:p>
        </w:tc>
        <w:tc>
          <w:tcPr>
            <w:tcW w:type="dxa" w:w="1177"/>
          </w:tcPr>
          <w:p>
            <w:pPr>
              <w:spacing w:after="0"/>
              <w:jc w:val="right"/>
            </w:pPr>
          </w:p>
        </w:tc>
        <w:tc>
          <w:tcPr>
            <w:tcW w:type="dxa" w:w="1080"/>
          </w:tcPr>
          <w:p>
            <w:pPr>
              <w:spacing w:after="0"/>
              <w:jc w:val="right"/>
            </w:pPr>
          </w:p>
        </w:tc>
        <w:tc>
          <w:tcPr>
            <w:tcW w:type="dxa" w:w="1246"/>
          </w:tcPr>
          <w:p>
            <w:pPr>
              <w:spacing w:after="0"/>
              <w:jc w:val="right"/>
            </w:pPr>
          </w:p>
        </w:tc>
        <w:tc>
          <w:tcPr>
            <w:tcW w:type="dxa" w:w="1202"/>
          </w:tcPr>
          <w:p>
            <w:pPr>
              <w:spacing w:after="0"/>
              <w:jc w:val="left"/>
            </w:pPr>
          </w:p>
        </w:tc>
      </w:tr>
      <w:tr>
        <w:trPr>
          <w:cantSplit/>
        </w:trPr>
        <w:tc>
          <w:tcPr>
            <w:tcW w:type="dxa" w:w="1037"/>
          </w:tcPr>
          <w:p>
            <w:pPr>
              <w:spacing w:after="0"/>
              <w:jc w:val="left"/>
            </w:pPr>
            <w:r>
              <w:rPr>
                <w:sz w:val="16"/>
              </w:rPr>
              <w:t>Lightning</w:t>
            </w:r>
          </w:p>
        </w:tc>
        <w:tc>
          <w:tcPr>
            <w:tcW w:type="dxa" w:w="1483"/>
          </w:tcPr>
          <w:p>
            <w:pPr>
              <w:spacing w:after="0"/>
              <w:jc w:val="right"/>
            </w:pPr>
            <w:r>
              <w:rPr>
                <w:sz w:val="16"/>
              </w:rPr>
              <w:t>$14,736,973,122</w:t>
            </w:r>
          </w:p>
        </w:tc>
        <w:tc>
          <w:tcPr>
            <w:tcW w:type="dxa" w:w="1132"/>
          </w:tcPr>
          <w:p>
            <w:pPr>
              <w:spacing w:after="0"/>
              <w:jc w:val="right"/>
            </w:pPr>
          </w:p>
        </w:tc>
        <w:tc>
          <w:tcPr>
            <w:tcW w:type="dxa" w:w="1042"/>
          </w:tcPr>
          <w:p>
            <w:pPr>
              <w:spacing w:after="0"/>
              <w:jc w:val="right"/>
            </w:pPr>
            <w:r>
              <w:rPr>
                <w:sz w:val="16"/>
              </w:rPr>
              <w:t>63,877</w:t>
            </w:r>
          </w:p>
        </w:tc>
        <w:tc>
          <w:tcPr>
            <w:tcW w:type="dxa" w:w="1126"/>
          </w:tcPr>
          <w:p>
            <w:pPr>
              <w:spacing w:after="0"/>
              <w:jc w:val="right"/>
            </w:pPr>
            <w:r>
              <w:rPr>
                <w:sz w:val="16"/>
              </w:rPr>
              <w:t>$14,443</w:t>
            </w:r>
          </w:p>
        </w:tc>
        <w:tc>
          <w:tcPr>
            <w:tcW w:type="dxa" w:w="1126"/>
          </w:tcPr>
          <w:p>
            <w:pPr>
              <w:spacing w:after="0"/>
              <w:jc w:val="right"/>
            </w:pPr>
          </w:p>
        </w:tc>
        <w:tc>
          <w:tcPr>
            <w:tcW w:type="dxa" w:w="1155"/>
          </w:tcPr>
          <w:p>
            <w:pPr>
              <w:spacing w:after="0"/>
              <w:jc w:val="right"/>
            </w:pPr>
            <w:r>
              <w:rPr>
                <w:sz w:val="16"/>
              </w:rPr>
              <w:t>$191,800</w:t>
            </w:r>
          </w:p>
        </w:tc>
        <w:tc>
          <w:tcPr>
            <w:tcW w:type="dxa" w:w="1305"/>
          </w:tcPr>
          <w:p>
            <w:pPr>
              <w:spacing w:after="0"/>
              <w:jc w:val="right"/>
            </w:pPr>
            <w:r>
              <w:rPr>
                <w:sz w:val="16"/>
              </w:rPr>
              <w:t>under 0.0001%</w:t>
            </w:r>
          </w:p>
        </w:tc>
        <w:tc>
          <w:tcPr>
            <w:tcW w:type="dxa" w:w="1177"/>
          </w:tcPr>
          <w:p>
            <w:pPr>
              <w:spacing w:after="0"/>
              <w:jc w:val="right"/>
            </w:pPr>
          </w:p>
        </w:tc>
        <w:tc>
          <w:tcPr>
            <w:tcW w:type="dxa" w:w="1080"/>
          </w:tcPr>
          <w:p>
            <w:pPr>
              <w:spacing w:after="0"/>
              <w:jc w:val="right"/>
            </w:pPr>
          </w:p>
        </w:tc>
        <w:tc>
          <w:tcPr>
            <w:tcW w:type="dxa" w:w="1246"/>
          </w:tcPr>
          <w:p>
            <w:pPr>
              <w:spacing w:after="0"/>
              <w:jc w:val="right"/>
            </w:pPr>
          </w:p>
        </w:tc>
        <w:tc>
          <w:tcPr>
            <w:tcW w:type="dxa" w:w="1202"/>
          </w:tcPr>
          <w:p>
            <w:pPr>
              <w:spacing w:after="0"/>
              <w:jc w:val="left"/>
            </w:pPr>
          </w:p>
        </w:tc>
      </w:tr>
      <w:tr>
        <w:trPr>
          <w:cantSplit/>
        </w:trPr>
        <w:tc>
          <w:tcPr>
            <w:tcW w:type="dxa" w:w="1037"/>
          </w:tcPr>
          <w:p>
            <w:pPr>
              <w:spacing w:after="0"/>
              <w:jc w:val="left"/>
            </w:pPr>
            <w:r>
              <w:rPr>
                <w:sz w:val="16"/>
              </w:rPr>
              <w:t>Strong Wind</w:t>
            </w:r>
          </w:p>
        </w:tc>
        <w:tc>
          <w:tcPr>
            <w:tcW w:type="dxa" w:w="1483"/>
          </w:tcPr>
          <w:p>
            <w:pPr>
              <w:spacing w:after="0"/>
              <w:jc w:val="right"/>
            </w:pPr>
            <w:r>
              <w:rPr>
                <w:sz w:val="16"/>
              </w:rPr>
              <w:t>$14,736,973,122</w:t>
            </w:r>
          </w:p>
        </w:tc>
        <w:tc>
          <w:tcPr>
            <w:tcW w:type="dxa" w:w="1132"/>
          </w:tcPr>
          <w:p>
            <w:pPr>
              <w:spacing w:after="0"/>
              <w:jc w:val="right"/>
            </w:pPr>
            <w:r>
              <w:rPr>
                <w:sz w:val="16"/>
              </w:rPr>
              <w:t>$63,661,886</w:t>
            </w:r>
          </w:p>
        </w:tc>
        <w:tc>
          <w:tcPr>
            <w:tcW w:type="dxa" w:w="1042"/>
          </w:tcPr>
          <w:p>
            <w:pPr>
              <w:spacing w:after="0"/>
              <w:jc w:val="right"/>
            </w:pPr>
            <w:r>
              <w:rPr>
                <w:sz w:val="16"/>
              </w:rPr>
              <w:t>63,877</w:t>
            </w:r>
          </w:p>
        </w:tc>
        <w:tc>
          <w:tcPr>
            <w:tcW w:type="dxa" w:w="1126"/>
          </w:tcPr>
          <w:p>
            <w:pPr>
              <w:spacing w:after="0"/>
              <w:jc w:val="right"/>
            </w:pPr>
            <w:r>
              <w:rPr>
                <w:sz w:val="16"/>
              </w:rPr>
              <w:t>$1,293,501</w:t>
            </w:r>
          </w:p>
        </w:tc>
        <w:tc>
          <w:tcPr>
            <w:tcW w:type="dxa" w:w="1126"/>
          </w:tcPr>
          <w:p>
            <w:pPr>
              <w:spacing w:after="0"/>
              <w:jc w:val="right"/>
            </w:pPr>
            <w:r>
              <w:rPr>
                <w:sz w:val="16"/>
              </w:rPr>
              <w:t>$160,367</w:t>
            </w:r>
          </w:p>
        </w:tc>
        <w:tc>
          <w:tcPr>
            <w:tcW w:type="dxa" w:w="1155"/>
          </w:tcPr>
          <w:p>
            <w:pPr>
              <w:spacing w:after="0"/>
              <w:jc w:val="right"/>
            </w:pPr>
            <w:r>
              <w:rPr>
                <w:sz w:val="16"/>
              </w:rPr>
              <w:t>$304,791</w:t>
            </w:r>
          </w:p>
        </w:tc>
        <w:tc>
          <w:tcPr>
            <w:tcW w:type="dxa" w:w="1305"/>
          </w:tcPr>
          <w:p>
            <w:pPr>
              <w:spacing w:after="0"/>
              <w:jc w:val="right"/>
            </w:pPr>
            <w:r>
              <w:rPr>
                <w:sz w:val="16"/>
              </w:rPr>
              <w:t>0.00878%</w:t>
            </w:r>
          </w:p>
        </w:tc>
        <w:tc>
          <w:tcPr>
            <w:tcW w:type="dxa" w:w="1177"/>
          </w:tcPr>
          <w:p>
            <w:pPr>
              <w:spacing w:after="0"/>
              <w:jc w:val="right"/>
            </w:pPr>
            <w:r>
              <w:rPr>
                <w:sz w:val="16"/>
              </w:rPr>
              <w:t>$366,000</w:t>
            </w:r>
          </w:p>
        </w:tc>
        <w:tc>
          <w:tcPr>
            <w:tcW w:type="dxa" w:w="1080"/>
          </w:tcPr>
          <w:p>
            <w:pPr>
              <w:spacing w:after="0"/>
              <w:jc w:val="right"/>
            </w:pPr>
            <w:r>
              <w:rPr>
                <w:sz w:val="16"/>
              </w:rPr>
              <w:t>$13,000</w:t>
            </w:r>
          </w:p>
        </w:tc>
        <w:tc>
          <w:tcPr>
            <w:tcW w:type="dxa" w:w="1246"/>
          </w:tcPr>
          <w:p>
            <w:pPr>
              <w:spacing w:after="0"/>
              <w:jc w:val="right"/>
            </w:pPr>
            <w:r>
              <w:rPr>
                <w:sz w:val="16"/>
              </w:rPr>
              <w:t>$675,528.68</w:t>
            </w:r>
          </w:p>
        </w:tc>
        <w:tc>
          <w:tcPr>
            <w:tcW w:type="dxa" w:w="1202"/>
          </w:tcPr>
          <w:p>
            <w:pPr>
              <w:spacing w:after="0"/>
              <w:jc w:val="left"/>
            </w:pPr>
            <w:r>
              <w:rPr>
                <w:sz w:val="16"/>
              </w:rPr>
              <w:t>Storm Events damage since the plan includes 13 zone-level Strong Wind records ($13,000), an event type the NRI definition of this hazard leaves out.</w:t>
            </w:r>
          </w:p>
        </w:tc>
      </w:tr>
      <w:tr>
        <w:trPr>
          <w:cantSplit/>
        </w:trPr>
        <w:tc>
          <w:tcPr>
            <w:tcW w:type="dxa" w:w="1037"/>
          </w:tcPr>
          <w:p>
            <w:pPr>
              <w:spacing w:after="0"/>
              <w:jc w:val="left"/>
            </w:pPr>
            <w:r>
              <w:rPr>
                <w:sz w:val="16"/>
              </w:rPr>
              <w:t>Tornado</w:t>
            </w:r>
          </w:p>
        </w:tc>
        <w:tc>
          <w:tcPr>
            <w:tcW w:type="dxa" w:w="1483"/>
          </w:tcPr>
          <w:p>
            <w:pPr>
              <w:spacing w:after="0"/>
              <w:jc w:val="right"/>
            </w:pPr>
            <w:r>
              <w:rPr>
                <w:sz w:val="16"/>
              </w:rPr>
              <w:t>$14,736,973,122</w:t>
            </w:r>
          </w:p>
        </w:tc>
        <w:tc>
          <w:tcPr>
            <w:tcW w:type="dxa" w:w="1132"/>
          </w:tcPr>
          <w:p>
            <w:pPr>
              <w:spacing w:after="0"/>
              <w:jc w:val="right"/>
            </w:pPr>
            <w:r>
              <w:rPr>
                <w:sz w:val="16"/>
              </w:rPr>
              <w:t>$63,661,886</w:t>
            </w:r>
          </w:p>
        </w:tc>
        <w:tc>
          <w:tcPr>
            <w:tcW w:type="dxa" w:w="1042"/>
          </w:tcPr>
          <w:p>
            <w:pPr>
              <w:spacing w:after="0"/>
              <w:jc w:val="right"/>
            </w:pPr>
            <w:r>
              <w:rPr>
                <w:sz w:val="16"/>
              </w:rPr>
              <w:t>63,877</w:t>
            </w:r>
          </w:p>
        </w:tc>
        <w:tc>
          <w:tcPr>
            <w:tcW w:type="dxa" w:w="1126"/>
          </w:tcPr>
          <w:p>
            <w:pPr>
              <w:spacing w:after="0"/>
              <w:jc w:val="right"/>
            </w:pPr>
            <w:r>
              <w:rPr>
                <w:sz w:val="16"/>
              </w:rPr>
              <w:t>$1,379,162</w:t>
            </w:r>
          </w:p>
        </w:tc>
        <w:tc>
          <w:tcPr>
            <w:tcW w:type="dxa" w:w="1126"/>
          </w:tcPr>
          <w:p>
            <w:pPr>
              <w:spacing w:after="0"/>
              <w:jc w:val="right"/>
            </w:pPr>
            <w:r>
              <w:rPr>
                <w:sz w:val="16"/>
              </w:rPr>
              <w:t>$736</w:t>
            </w:r>
          </w:p>
        </w:tc>
        <w:tc>
          <w:tcPr>
            <w:tcW w:type="dxa" w:w="1155"/>
          </w:tcPr>
          <w:p>
            <w:pPr>
              <w:spacing w:after="0"/>
              <w:jc w:val="right"/>
            </w:pPr>
            <w:r>
              <w:rPr>
                <w:sz w:val="16"/>
              </w:rPr>
              <w:t>$1,779,675</w:t>
            </w:r>
          </w:p>
        </w:tc>
        <w:tc>
          <w:tcPr>
            <w:tcW w:type="dxa" w:w="1305"/>
          </w:tcPr>
          <w:p>
            <w:pPr>
              <w:spacing w:after="0"/>
              <w:jc w:val="right"/>
            </w:pPr>
            <w:r>
              <w:rPr>
                <w:sz w:val="16"/>
              </w:rPr>
              <w:t>0.00936%</w:t>
            </w:r>
          </w:p>
        </w:tc>
        <w:tc>
          <w:tcPr>
            <w:tcW w:type="dxa" w:w="1177"/>
          </w:tcPr>
          <w:p>
            <w:pPr>
              <w:spacing w:after="0"/>
              <w:jc w:val="right"/>
            </w:pPr>
            <w:r>
              <w:rPr>
                <w:sz w:val="16"/>
              </w:rPr>
              <w:t>$663,000</w:t>
            </w:r>
          </w:p>
        </w:tc>
        <w:tc>
          <w:tcPr>
            <w:tcW w:type="dxa" w:w="1080"/>
          </w:tcPr>
          <w:p>
            <w:pPr>
              <w:spacing w:after="0"/>
              <w:jc w:val="right"/>
            </w:pPr>
          </w:p>
        </w:tc>
        <w:tc>
          <w:tcPr>
            <w:tcW w:type="dxa" w:w="1246"/>
          </w:tcPr>
          <w:p>
            <w:pPr>
              <w:spacing w:after="0"/>
              <w:jc w:val="right"/>
            </w:pPr>
            <w:r>
              <w:rPr>
                <w:sz w:val="16"/>
              </w:rPr>
              <w:t>$675,528.68</w:t>
            </w:r>
          </w:p>
        </w:tc>
        <w:tc>
          <w:tcPr>
            <w:tcW w:type="dxa" w:w="1202"/>
          </w:tcPr>
          <w:p>
            <w:pPr>
              <w:spacing w:after="0"/>
              <w:jc w:val="left"/>
            </w:pPr>
          </w:p>
        </w:tc>
      </w:tr>
      <w:tr>
        <w:trPr>
          <w:cantSplit/>
        </w:trPr>
        <w:tc>
          <w:tcPr>
            <w:tcW w:type="dxa" w:w="1037"/>
          </w:tcPr>
          <w:p>
            <w:pPr>
              <w:spacing w:after="0"/>
              <w:jc w:val="left"/>
            </w:pPr>
            <w:r>
              <w:rPr>
                <w:sz w:val="16"/>
              </w:rPr>
              <w:t>Tsunami</w:t>
            </w:r>
          </w:p>
        </w:tc>
        <w:tc>
          <w:tcPr>
            <w:tcW w:type="dxa" w:w="1483"/>
          </w:tcPr>
          <w:p>
            <w:pPr>
              <w:spacing w:after="0"/>
              <w:jc w:val="right"/>
            </w:pPr>
          </w:p>
        </w:tc>
        <w:tc>
          <w:tcPr>
            <w:tcW w:type="dxa" w:w="1132"/>
          </w:tcPr>
          <w:p>
            <w:pPr>
              <w:spacing w:after="0"/>
              <w:jc w:val="right"/>
            </w:pPr>
          </w:p>
        </w:tc>
        <w:tc>
          <w:tcPr>
            <w:tcW w:type="dxa" w:w="1042"/>
          </w:tcPr>
          <w:p>
            <w:pPr>
              <w:spacing w:after="0"/>
              <w:jc w:val="right"/>
            </w:pPr>
          </w:p>
        </w:tc>
        <w:tc>
          <w:tcPr>
            <w:tcW w:type="dxa" w:w="1126"/>
          </w:tcPr>
          <w:p>
            <w:pPr>
              <w:spacing w:after="0"/>
              <w:jc w:val="right"/>
            </w:pPr>
          </w:p>
        </w:tc>
        <w:tc>
          <w:tcPr>
            <w:tcW w:type="dxa" w:w="1126"/>
          </w:tcPr>
          <w:p>
            <w:pPr>
              <w:spacing w:after="0"/>
              <w:jc w:val="right"/>
            </w:pPr>
          </w:p>
        </w:tc>
        <w:tc>
          <w:tcPr>
            <w:tcW w:type="dxa" w:w="1155"/>
          </w:tcPr>
          <w:p>
            <w:pPr>
              <w:spacing w:after="0"/>
              <w:jc w:val="right"/>
            </w:pPr>
          </w:p>
        </w:tc>
        <w:tc>
          <w:tcPr>
            <w:tcW w:type="dxa" w:w="1305"/>
          </w:tcPr>
          <w:p>
            <w:pPr>
              <w:spacing w:after="0"/>
              <w:jc w:val="right"/>
            </w:pPr>
          </w:p>
        </w:tc>
        <w:tc>
          <w:tcPr>
            <w:tcW w:type="dxa" w:w="1177"/>
          </w:tcPr>
          <w:p>
            <w:pPr>
              <w:spacing w:after="0"/>
              <w:jc w:val="right"/>
            </w:pPr>
          </w:p>
        </w:tc>
        <w:tc>
          <w:tcPr>
            <w:tcW w:type="dxa" w:w="1080"/>
          </w:tcPr>
          <w:p>
            <w:pPr>
              <w:spacing w:after="0"/>
              <w:jc w:val="right"/>
            </w:pPr>
          </w:p>
        </w:tc>
        <w:tc>
          <w:tcPr>
            <w:tcW w:type="dxa" w:w="1246"/>
          </w:tcPr>
          <w:p>
            <w:pPr>
              <w:spacing w:after="0"/>
              <w:jc w:val="right"/>
            </w:pPr>
          </w:p>
        </w:tc>
        <w:tc>
          <w:tcPr>
            <w:tcW w:type="dxa" w:w="1202"/>
          </w:tcPr>
          <w:p>
            <w:pPr>
              <w:spacing w:after="0"/>
              <w:jc w:val="left"/>
            </w:pPr>
            <w:r>
              <w:rPr>
                <w:sz w:val="16"/>
              </w:rPr>
              <w:t>Not Applicable in NRI for this county</w:t>
            </w:r>
          </w:p>
        </w:tc>
      </w:tr>
      <w:tr>
        <w:trPr>
          <w:cantSplit/>
        </w:trPr>
        <w:tc>
          <w:tcPr>
            <w:tcW w:type="dxa" w:w="1037"/>
          </w:tcPr>
          <w:p>
            <w:pPr>
              <w:spacing w:after="0"/>
              <w:jc w:val="left"/>
            </w:pPr>
            <w:r>
              <w:rPr>
                <w:sz w:val="16"/>
              </w:rPr>
              <w:t>Volcanic Activity</w:t>
            </w:r>
          </w:p>
        </w:tc>
        <w:tc>
          <w:tcPr>
            <w:tcW w:type="dxa" w:w="1483"/>
          </w:tcPr>
          <w:p>
            <w:pPr>
              <w:spacing w:after="0"/>
              <w:jc w:val="right"/>
            </w:pPr>
          </w:p>
        </w:tc>
        <w:tc>
          <w:tcPr>
            <w:tcW w:type="dxa" w:w="1132"/>
          </w:tcPr>
          <w:p>
            <w:pPr>
              <w:spacing w:after="0"/>
              <w:jc w:val="right"/>
            </w:pPr>
          </w:p>
        </w:tc>
        <w:tc>
          <w:tcPr>
            <w:tcW w:type="dxa" w:w="1042"/>
          </w:tcPr>
          <w:p>
            <w:pPr>
              <w:spacing w:after="0"/>
              <w:jc w:val="right"/>
            </w:pPr>
          </w:p>
        </w:tc>
        <w:tc>
          <w:tcPr>
            <w:tcW w:type="dxa" w:w="1126"/>
          </w:tcPr>
          <w:p>
            <w:pPr>
              <w:spacing w:after="0"/>
              <w:jc w:val="right"/>
            </w:pPr>
          </w:p>
        </w:tc>
        <w:tc>
          <w:tcPr>
            <w:tcW w:type="dxa" w:w="1126"/>
          </w:tcPr>
          <w:p>
            <w:pPr>
              <w:spacing w:after="0"/>
              <w:jc w:val="right"/>
            </w:pPr>
          </w:p>
        </w:tc>
        <w:tc>
          <w:tcPr>
            <w:tcW w:type="dxa" w:w="1155"/>
          </w:tcPr>
          <w:p>
            <w:pPr>
              <w:spacing w:after="0"/>
              <w:jc w:val="right"/>
            </w:pPr>
          </w:p>
        </w:tc>
        <w:tc>
          <w:tcPr>
            <w:tcW w:type="dxa" w:w="1305"/>
          </w:tcPr>
          <w:p>
            <w:pPr>
              <w:spacing w:after="0"/>
              <w:jc w:val="right"/>
            </w:pPr>
          </w:p>
        </w:tc>
        <w:tc>
          <w:tcPr>
            <w:tcW w:type="dxa" w:w="1177"/>
          </w:tcPr>
          <w:p>
            <w:pPr>
              <w:spacing w:after="0"/>
              <w:jc w:val="right"/>
            </w:pPr>
          </w:p>
        </w:tc>
        <w:tc>
          <w:tcPr>
            <w:tcW w:type="dxa" w:w="1080"/>
          </w:tcPr>
          <w:p>
            <w:pPr>
              <w:spacing w:after="0"/>
              <w:jc w:val="right"/>
            </w:pPr>
          </w:p>
        </w:tc>
        <w:tc>
          <w:tcPr>
            <w:tcW w:type="dxa" w:w="1246"/>
          </w:tcPr>
          <w:p>
            <w:pPr>
              <w:spacing w:after="0"/>
              <w:jc w:val="right"/>
            </w:pPr>
          </w:p>
        </w:tc>
        <w:tc>
          <w:tcPr>
            <w:tcW w:type="dxa" w:w="1202"/>
          </w:tcPr>
          <w:p>
            <w:pPr>
              <w:spacing w:after="0"/>
              <w:jc w:val="left"/>
            </w:pPr>
            <w:r>
              <w:rPr>
                <w:sz w:val="16"/>
              </w:rPr>
              <w:t>Not Applicable in NRI for this county</w:t>
            </w:r>
          </w:p>
        </w:tc>
      </w:tr>
      <w:tr>
        <w:trPr>
          <w:cantSplit/>
        </w:trPr>
        <w:tc>
          <w:tcPr>
            <w:tcW w:type="dxa" w:w="1037"/>
          </w:tcPr>
          <w:p>
            <w:pPr>
              <w:spacing w:after="0"/>
              <w:jc w:val="left"/>
            </w:pPr>
            <w:r>
              <w:rPr>
                <w:sz w:val="16"/>
              </w:rPr>
              <w:t>Wildfire</w:t>
            </w:r>
          </w:p>
        </w:tc>
        <w:tc>
          <w:tcPr>
            <w:tcW w:type="dxa" w:w="1483"/>
          </w:tcPr>
          <w:p>
            <w:pPr>
              <w:spacing w:after="0"/>
              <w:jc w:val="right"/>
            </w:pPr>
            <w:r>
              <w:rPr>
                <w:sz w:val="16"/>
              </w:rPr>
              <w:t>$423,308,865</w:t>
            </w:r>
          </w:p>
        </w:tc>
        <w:tc>
          <w:tcPr>
            <w:tcW w:type="dxa" w:w="1132"/>
          </w:tcPr>
          <w:p>
            <w:pPr>
              <w:spacing w:after="0"/>
              <w:jc w:val="right"/>
            </w:pPr>
            <w:r>
              <w:rPr>
                <w:sz w:val="16"/>
              </w:rPr>
              <w:t>$4,627,090</w:t>
            </w:r>
          </w:p>
        </w:tc>
        <w:tc>
          <w:tcPr>
            <w:tcW w:type="dxa" w:w="1042"/>
          </w:tcPr>
          <w:p>
            <w:pPr>
              <w:spacing w:after="0"/>
              <w:jc w:val="right"/>
            </w:pPr>
            <w:r>
              <w:rPr>
                <w:sz w:val="16"/>
              </w:rPr>
              <w:t>7,912</w:t>
            </w:r>
          </w:p>
        </w:tc>
        <w:tc>
          <w:tcPr>
            <w:tcW w:type="dxa" w:w="1126"/>
          </w:tcPr>
          <w:p>
            <w:pPr>
              <w:spacing w:after="0"/>
              <w:jc w:val="right"/>
            </w:pPr>
            <w:r>
              <w:rPr>
                <w:sz w:val="16"/>
              </w:rPr>
              <w:t>$17,737</w:t>
            </w:r>
          </w:p>
        </w:tc>
        <w:tc>
          <w:tcPr>
            <w:tcW w:type="dxa" w:w="1126"/>
          </w:tcPr>
          <w:p>
            <w:pPr>
              <w:spacing w:after="0"/>
              <w:jc w:val="right"/>
            </w:pPr>
            <w:r>
              <w:rPr>
                <w:sz w:val="16"/>
              </w:rPr>
              <w:t>$16</w:t>
            </w:r>
          </w:p>
        </w:tc>
        <w:tc>
          <w:tcPr>
            <w:tcW w:type="dxa" w:w="1155"/>
          </w:tcPr>
          <w:p>
            <w:pPr>
              <w:spacing w:after="0"/>
              <w:jc w:val="right"/>
            </w:pPr>
            <w:r>
              <w:rPr>
                <w:sz w:val="16"/>
              </w:rPr>
              <w:t>$5,729</w:t>
            </w:r>
          </w:p>
        </w:tc>
        <w:tc>
          <w:tcPr>
            <w:tcW w:type="dxa" w:w="1305"/>
          </w:tcPr>
          <w:p>
            <w:pPr>
              <w:spacing w:after="0"/>
              <w:jc w:val="right"/>
            </w:pPr>
            <w:r>
              <w:rPr>
                <w:sz w:val="16"/>
              </w:rPr>
              <w:t>0.00419%</w:t>
            </w:r>
          </w:p>
        </w:tc>
        <w:tc>
          <w:tcPr>
            <w:tcW w:type="dxa" w:w="1177"/>
          </w:tcPr>
          <w:p>
            <w:pPr>
              <w:spacing w:after="0"/>
              <w:jc w:val="right"/>
            </w:pPr>
          </w:p>
        </w:tc>
        <w:tc>
          <w:tcPr>
            <w:tcW w:type="dxa" w:w="1080"/>
          </w:tcPr>
          <w:p>
            <w:pPr>
              <w:spacing w:after="0"/>
              <w:jc w:val="right"/>
            </w:pPr>
          </w:p>
        </w:tc>
        <w:tc>
          <w:tcPr>
            <w:tcW w:type="dxa" w:w="1246"/>
          </w:tcPr>
          <w:p>
            <w:pPr>
              <w:spacing w:after="0"/>
              <w:jc w:val="right"/>
            </w:pPr>
          </w:p>
        </w:tc>
        <w:tc>
          <w:tcPr>
            <w:tcW w:type="dxa" w:w="1202"/>
          </w:tcPr>
          <w:p>
            <w:pPr>
              <w:spacing w:after="0"/>
              <w:jc w:val="left"/>
            </w:pPr>
          </w:p>
        </w:tc>
      </w:tr>
      <w:tr>
        <w:trPr>
          <w:cantSplit/>
        </w:trPr>
        <w:tc>
          <w:tcPr>
            <w:tcW w:type="dxa" w:w="1037"/>
          </w:tcPr>
          <w:p>
            <w:pPr>
              <w:spacing w:after="0"/>
              <w:jc w:val="left"/>
            </w:pPr>
            <w:r>
              <w:rPr>
                <w:sz w:val="16"/>
              </w:rPr>
              <w:t>Winter Weather</w:t>
            </w:r>
          </w:p>
        </w:tc>
        <w:tc>
          <w:tcPr>
            <w:tcW w:type="dxa" w:w="1483"/>
          </w:tcPr>
          <w:p>
            <w:pPr>
              <w:spacing w:after="0"/>
              <w:jc w:val="right"/>
            </w:pPr>
            <w:r>
              <w:rPr>
                <w:sz w:val="16"/>
              </w:rPr>
              <w:t>$14,736,973,122</w:t>
            </w:r>
          </w:p>
        </w:tc>
        <w:tc>
          <w:tcPr>
            <w:tcW w:type="dxa" w:w="1132"/>
          </w:tcPr>
          <w:p>
            <w:pPr>
              <w:spacing w:after="0"/>
              <w:jc w:val="right"/>
            </w:pPr>
            <w:r>
              <w:rPr>
                <w:sz w:val="16"/>
              </w:rPr>
              <w:t>$63,661,886</w:t>
            </w:r>
          </w:p>
        </w:tc>
        <w:tc>
          <w:tcPr>
            <w:tcW w:type="dxa" w:w="1042"/>
          </w:tcPr>
          <w:p>
            <w:pPr>
              <w:spacing w:after="0"/>
              <w:jc w:val="right"/>
            </w:pPr>
            <w:r>
              <w:rPr>
                <w:sz w:val="16"/>
              </w:rPr>
              <w:t>63,877</w:t>
            </w:r>
          </w:p>
        </w:tc>
        <w:tc>
          <w:tcPr>
            <w:tcW w:type="dxa" w:w="1126"/>
          </w:tcPr>
          <w:p>
            <w:pPr>
              <w:spacing w:after="0"/>
              <w:jc w:val="right"/>
            </w:pPr>
            <w:r>
              <w:rPr>
                <w:sz w:val="16"/>
              </w:rPr>
              <w:t>$108,452</w:t>
            </w:r>
          </w:p>
        </w:tc>
        <w:tc>
          <w:tcPr>
            <w:tcW w:type="dxa" w:w="1126"/>
          </w:tcPr>
          <w:p>
            <w:pPr>
              <w:spacing w:after="0"/>
              <w:jc w:val="right"/>
            </w:pPr>
            <w:r>
              <w:rPr>
                <w:sz w:val="16"/>
              </w:rPr>
              <w:t>$179</w:t>
            </w:r>
          </w:p>
        </w:tc>
        <w:tc>
          <w:tcPr>
            <w:tcW w:type="dxa" w:w="1155"/>
          </w:tcPr>
          <w:p>
            <w:pPr>
              <w:spacing w:after="0"/>
              <w:jc w:val="right"/>
            </w:pPr>
            <w:r>
              <w:rPr>
                <w:sz w:val="16"/>
              </w:rPr>
              <w:t>$106,761</w:t>
            </w:r>
          </w:p>
        </w:tc>
        <w:tc>
          <w:tcPr>
            <w:tcW w:type="dxa" w:w="1305"/>
          </w:tcPr>
          <w:p>
            <w:pPr>
              <w:spacing w:after="0"/>
              <w:jc w:val="right"/>
            </w:pPr>
            <w:r>
              <w:rPr>
                <w:sz w:val="16"/>
              </w:rPr>
              <w:t>0.000736%</w:t>
            </w:r>
          </w:p>
        </w:tc>
        <w:tc>
          <w:tcPr>
            <w:tcW w:type="dxa" w:w="1177"/>
          </w:tcPr>
          <w:p>
            <w:pPr>
              <w:spacing w:after="0"/>
              <w:jc w:val="right"/>
            </w:pPr>
          </w:p>
        </w:tc>
        <w:tc>
          <w:tcPr>
            <w:tcW w:type="dxa" w:w="1080"/>
          </w:tcPr>
          <w:p>
            <w:pPr>
              <w:spacing w:after="0"/>
              <w:jc w:val="right"/>
            </w:pPr>
            <w:r>
              <w:rPr>
                <w:sz w:val="16"/>
              </w:rPr>
              <w:t>$300,000</w:t>
            </w:r>
          </w:p>
        </w:tc>
        <w:tc>
          <w:tcPr>
            <w:tcW w:type="dxa" w:w="1246"/>
          </w:tcPr>
          <w:p>
            <w:pPr>
              <w:spacing w:after="0"/>
              <w:jc w:val="right"/>
            </w:pPr>
            <w:r>
              <w:rPr>
                <w:sz w:val="16"/>
              </w:rPr>
              <w:t>none found (1 declaration)</w:t>
            </w:r>
          </w:p>
        </w:tc>
        <w:tc>
          <w:tcPr>
            <w:tcW w:type="dxa" w:w="1202"/>
          </w:tcPr>
          <w:p>
            <w:pPr>
              <w:spacing w:after="0"/>
              <w:jc w:val="left"/>
            </w:pPr>
          </w:p>
        </w:tc>
      </w:tr>
    </w:tbl>
    <w:p>
      <w:pPr>
        <w:spacing w:after="40" w:before="60"/>
      </w:pPr>
      <w:r>
        <w:rPr>
          <w:sz w:val="15"/>
        </w:rPr>
        <w:t>Totals since 2023-03-07 (Storm Events through 2026-06-30): 50 county-coded records, 50 with a damage value recorded (including $0), $1,154,000; 50 zone-level records, 50 with a damage value recorded (including $0), $313,000 reported for the zone; Public Assistance on counted declarations $675,528.68 (2 declarations, 1 with PA).</w:t>
      </w:r>
    </w:p>
    <w:p>
      <w:pPr>
        <w:spacing w:after="40" w:before="0"/>
      </w:pPr>
      <w:r>
        <w:rPr>
          <w:sz w:val="15"/>
        </w:rPr>
        <w:t>Total = buildings + agriculture + population equivalence; FEMA values each expected death (or 10 injuries) at $13.7 million (2024 dollars).</w:t>
      </w:r>
    </w:p>
    <w:p>
      <w:pPr>
        <w:spacing w:after="40" w:before="0"/>
      </w:pPr>
      <w:r>
        <w:rPr>
          <w:sz w:val="15"/>
        </w:rPr>
        <w:t>FEMA does not split Public Assistance by hazard. A declaration mapped to several hazards is listed under each of them with its full amount, so the per-hazard column must not be added up; the unit total counts each declaration once.</w:t>
      </w:r>
    </w:p>
    <w:p>
      <w:pPr>
        <w:spacing w:after="40" w:before="0"/>
      </w:pPr>
      <w:r>
        <w:rPr>
          <w:sz w:val="15"/>
        </w:rPr>
        <w:t>Dollars are nominal (as reported), labeled with the year; not adjusted for inflation.</w:t>
      </w:r>
    </w:p>
    <w:p>
      <w:pPr>
        <w:spacing w:after="20" w:before="0"/>
      </w:pPr>
      <w:r>
        <w:rPr>
          <w:b/>
          <w:color w:val="555555"/>
          <w:sz w:val="15"/>
        </w:rPr>
        <w:t xml:space="preserve">Source: </w:t>
      </w:r>
      <w:r>
        <w:rPr>
          <w:color w:val="555555"/>
          <w:sz w:val="15"/>
        </w:rPr>
        <w:t xml:space="preserve">FEMA, FEMA National Risk Index 1.20.0 (December 2025), county and census tract tables, version 1.20.0, pulled 2026-09-28, </w:t>
      </w:r>
      <w:hyperlink r:id="rId13">
        <w:r>
          <w:rPr>
            <w:color w:val="1F4E99"/>
            <w:sz w:val="15"/>
            <w:u w:val="single"/>
          </w:rPr>
          <w:t>https://www.fema.gov/about/reports-and-data/openfema/nri/v120/NRI_Table_Counties.zip</w:t>
        </w:r>
      </w:hyperlink>
      <w:r>
        <w:rPr>
          <w:color w:val="555555"/>
          <w:sz w:val="15"/>
        </w:rPr>
        <w:t xml:space="preserve"> (download, 25 MB)</w:t>
      </w:r>
      <w:r>
        <w:rPr>
          <w:color w:val="555555"/>
          <w:sz w:val="15"/>
        </w:rPr>
        <w:t xml:space="preserve">, </w:t>
      </w:r>
      <w:hyperlink r:id="rId14">
        <w:r>
          <w:rPr>
            <w:color w:val="1F4E99"/>
            <w:sz w:val="15"/>
            <w:u w:val="single"/>
          </w:rPr>
          <w:t>https://www.fema.gov/about/reports-and-data/openfema/nri/v120/NRI_Table_CensusTracts.zip</w:t>
        </w:r>
      </w:hyperlink>
      <w:r>
        <w:rPr>
          <w:color w:val="555555"/>
          <w:sz w:val="15"/>
        </w:rPr>
        <w:t xml:space="preserve"> (download, 635 MB)</w:t>
      </w:r>
    </w:p>
    <w:p>
      <w:pPr>
        <w:spacing w:after="20" w:before="0"/>
      </w:pPr>
      <w:r>
        <w:rPr>
          <w:b/>
          <w:color w:val="555555"/>
          <w:sz w:val="15"/>
        </w:rPr>
        <w:t xml:space="preserve">Source: </w:t>
      </w:r>
      <w:r>
        <w:rPr>
          <w:color w:val="555555"/>
          <w:sz w:val="15"/>
        </w:rPr>
        <w:t xml:space="preserve">NOAA NCEI, NOAA NCEI Storm Events Database, details files (csvfiles v1.0), version c20260918, pulled 2026-09-28, </w:t>
      </w:r>
      <w:hyperlink r:id="rId15">
        <w:r>
          <w:rPr>
            <w:color w:val="1F4E99"/>
            <w:sz w:val="15"/>
            <w:u w:val="single"/>
          </w:rPr>
          <w:t>https://www.ncei.noaa.gov/pub/data/swdi/stormevents/csvfiles/</w:t>
        </w:r>
      </w:hyperlink>
    </w:p>
    <w:p>
      <w:pPr>
        <w:spacing w:after="20" w:before="0"/>
      </w:pPr>
      <w:r>
        <w:rPr>
          <w:b/>
          <w:color w:val="555555"/>
          <w:sz w:val="15"/>
        </w:rPr>
        <w:t xml:space="preserve">Source: </w:t>
      </w:r>
      <w:r>
        <w:rPr>
          <w:color w:val="555555"/>
          <w:sz w:val="15"/>
        </w:rPr>
        <w:t xml:space="preserve">NOAA National Weather Service, NWS county-public forecast zones correlation file, version bp03mr20 to bp16ap26 (11 files; newest bp16ap26), pulled 2026-09-28, </w:t>
      </w:r>
      <w:hyperlink r:id="rId17">
        <w:r>
          <w:rPr>
            <w:color w:val="1F4E99"/>
            <w:sz w:val="15"/>
            <w:u w:val="single"/>
          </w:rPr>
          <w:t>https://www.weather.gov/gis/ZoneCounty</w:t>
        </w:r>
      </w:hyperlink>
    </w:p>
    <w:p>
      <w:pPr>
        <w:spacing w:after="20" w:before="0"/>
      </w:pPr>
      <w:r>
        <w:rPr>
          <w:b/>
          <w:color w:val="555555"/>
          <w:sz w:val="15"/>
        </w:rPr>
        <w:t xml:space="preserve">Source: </w:t>
      </w:r>
      <w:r>
        <w:rPr>
          <w:color w:val="555555"/>
          <w:sz w:val="15"/>
        </w:rPr>
        <w:t xml:space="preserve">FEMA, </w:t>
      </w:r>
      <w:hyperlink r:id="rId18">
        <w:r>
          <w:rPr>
            <w:color w:val="1F4E99"/>
            <w:sz w:val="15"/>
            <w:u w:val="single"/>
          </w:rPr>
          <w:t>OpenFEMA DisasterDeclarationsSummaries v2</w:t>
        </w:r>
      </w:hyperlink>
      <w:r>
        <w:rPr>
          <w:color w:val="555555"/>
          <w:sz w:val="15"/>
        </w:rPr>
        <w:t xml:space="preserve">, version 2026-09-27T010817Z, pulled 2026-09-28, </w:t>
      </w:r>
      <w:hyperlink r:id="rId19">
        <w:r>
          <w:rPr>
            <w:color w:val="1F4E99"/>
            <w:sz w:val="15"/>
            <w:u w:val="single"/>
          </w:rPr>
          <w:t>https://www.fema.gov/api/open/v2/DisasterDeclarationsSummaries</w:t>
        </w:r>
      </w:hyperlink>
      <w:r>
        <w:rPr>
          <w:color w:val="555555"/>
          <w:sz w:val="15"/>
        </w:rPr>
        <w:t xml:space="preserve"> (API)</w:t>
      </w:r>
    </w:p>
    <w:p>
      <w:pPr>
        <w:spacing w:after="20" w:before="0"/>
      </w:pPr>
      <w:r>
        <w:rPr>
          <w:b/>
          <w:color w:val="555555"/>
          <w:sz w:val="15"/>
        </w:rPr>
        <w:t xml:space="preserve">Source: </w:t>
      </w:r>
      <w:r>
        <w:rPr>
          <w:color w:val="555555"/>
          <w:sz w:val="15"/>
        </w:rPr>
        <w:t xml:space="preserve">FEMA, </w:t>
      </w:r>
      <w:hyperlink r:id="rId20">
        <w:r>
          <w:rPr>
            <w:color w:val="1F4E99"/>
            <w:sz w:val="15"/>
            <w:u w:val="single"/>
          </w:rPr>
          <w:t>OpenFEMA PublicAssistanceFundedProjectsSummaries v1</w:t>
        </w:r>
      </w:hyperlink>
      <w:r>
        <w:rPr>
          <w:color w:val="555555"/>
          <w:sz w:val="15"/>
        </w:rPr>
        <w:t xml:space="preserve">, version 2026-09-26T151157Z, pulled 2026-09-28, </w:t>
      </w:r>
      <w:hyperlink r:id="rId21">
        <w:r>
          <w:rPr>
            <w:color w:val="1F4E99"/>
            <w:sz w:val="15"/>
            <w:u w:val="single"/>
          </w:rPr>
          <w:t>https://www.fema.gov/api/open/v1/PublicAssistanceFundedProjectsSummaries</w:t>
        </w:r>
      </w:hyperlink>
      <w:r>
        <w:rPr>
          <w:color w:val="555555"/>
          <w:sz w:val="15"/>
        </w:rPr>
        <w:t xml:space="preserve"> (API)</w:t>
      </w:r>
    </w:p>
    <w:p>
      <w:pPr>
        <w:spacing w:after="20" w:before="0"/>
      </w:pPr>
      <w:r>
        <w:rPr>
          <w:b/>
          <w:color w:val="555555"/>
          <w:sz w:val="15"/>
        </w:rPr>
        <w:t xml:space="preserve">Source: </w:t>
      </w:r>
      <w:r>
        <w:rPr>
          <w:color w:val="555555"/>
          <w:sz w:val="15"/>
        </w:rPr>
        <w:t xml:space="preserve">FEMA, </w:t>
      </w:r>
      <w:hyperlink r:id="rId11">
        <w:r>
          <w:rPr>
            <w:color w:val="1F4E99"/>
            <w:sz w:val="15"/>
            <w:u w:val="single"/>
          </w:rPr>
          <w:t>OpenFEMA HazardMitigationPlanStatuses v1</w:t>
        </w:r>
      </w:hyperlink>
      <w:r>
        <w:rPr>
          <w:color w:val="555555"/>
          <w:sz w:val="15"/>
        </w:rPr>
        <w:t xml:space="preserve">, version 2026-09-26T121003Z, pulled 2026-09-28, </w:t>
      </w:r>
      <w:hyperlink r:id="rId12">
        <w:r>
          <w:rPr>
            <w:color w:val="1F4E99"/>
            <w:sz w:val="15"/>
            <w:u w:val="single"/>
          </w:rPr>
          <w:t>https://www.fema.gov/api/open/v1/HazardMitigationPlanStatuses</w:t>
        </w:r>
      </w:hyperlink>
      <w:r>
        <w:rPr>
          <w:color w:val="555555"/>
          <w:sz w:val="15"/>
        </w:rPr>
        <w:t xml:space="preserve"> (API)</w:t>
      </w:r>
    </w:p>
    <w:p>
      <w:pPr>
        <w:spacing w:after="80" w:before="0"/>
      </w:pPr>
    </w:p>
    <w:p>
      <w:pPr>
        <w:pStyle w:val="Heading2"/>
        <w:keepNext/>
        <w:spacing w:after="80"/>
      </w:pPr>
      <w:r>
        <w:rPr/>
        <w:t>Supports B2-a: context</w:t>
      </w:r>
    </w:p>
    <w:p>
      <w:pPr>
        <w:pStyle w:val="Heading3"/>
        <w:keepNext/>
        <w:spacing w:after="80"/>
      </w:pPr>
      <w:r>
        <w:rPr/>
        <w:t>County context</w:t>
      </w:r>
    </w:p>
    <w:tbl>
      <w:tblPr>
        <w:tblW w:type="auto" w:w="0"/>
        <w:jc w:val="left"/>
        <w:tblBorders>
          <w:top w:val="single" w:sz="4" w:space="0" w:color="808080"/>
          <w:left w:val="single" w:sz="4" w:space="0" w:color="808080"/>
          <w:bottom w:val="single" w:sz="4" w:space="0" w:color="808080"/>
          <w:right w:val="single" w:sz="4" w:space="0" w:color="808080"/>
          <w:insideH w:val="single" w:sz="4" w:space="0" w:color="808080"/>
          <w:insideV w:val="single" w:sz="4" w:space="0" w:color="808080"/>
        </w:tblBorders>
        <w:tblLayout w:type="fixed"/>
        <w:tblCellMar>
          <w:top w:w="15" w:type="dxa"/>
          <w:left w:w="60" w:type="dxa"/>
          <w:bottom w:w="15" w:type="dxa"/>
          <w:right w:w="60" w:type="dxa"/>
        </w:tblCellMar>
        <w:tblLook w:firstColumn="1" w:firstRow="1" w:lastColumn="0" w:lastRow="0" w:noHBand="0" w:noVBand="1" w:val="04A0"/>
        <w:tblCaption w:val="County context"/>
        <w:tblDescription w:val="Hazard Plain table context"/>
      </w:tblPr>
      <w:tblGrid>
        <w:gridCol w:w="7990"/>
        <w:gridCol w:w="6122"/>
      </w:tblGrid>
      <w:tr>
        <w:trPr>
          <w:cantSplit/>
          <w:tblHeader/>
        </w:trPr>
        <w:tc>
          <w:tcPr>
            <w:tcW w:type="dxa" w:w="7990"/>
            <w:shd w:val="clear" w:color="auto" w:fill="E8E8E8"/>
          </w:tcPr>
          <w:p>
            <w:pPr>
              <w:spacing w:after="0"/>
              <w:jc w:val="left"/>
            </w:pPr>
            <w:r>
              <w:rPr>
                <w:b/>
                <w:sz w:val="16"/>
              </w:rPr>
              <w:t>Measure</w:t>
            </w:r>
          </w:p>
        </w:tc>
        <w:tc>
          <w:tcPr>
            <w:tcW w:type="dxa" w:w="6122"/>
            <w:shd w:val="clear" w:color="auto" w:fill="E8E8E8"/>
          </w:tcPr>
          <w:p>
            <w:pPr>
              <w:spacing w:after="0"/>
              <w:jc w:val="right"/>
            </w:pPr>
            <w:r>
              <w:rPr>
                <w:b/>
                <w:sz w:val="16"/>
              </w:rPr>
              <w:t>Value</w:t>
            </w:r>
          </w:p>
        </w:tc>
      </w:tr>
      <w:tr>
        <w:trPr>
          <w:cantSplit/>
        </w:trPr>
        <w:tc>
          <w:tcPr>
            <w:tcW w:type="dxa" w:w="7990"/>
          </w:tcPr>
          <w:p>
            <w:pPr>
              <w:spacing w:after="0"/>
              <w:jc w:val="left"/>
            </w:pPr>
            <w:r>
              <w:rPr>
                <w:sz w:val="16"/>
              </w:rPr>
              <w:t>Population</w:t>
            </w:r>
          </w:p>
        </w:tc>
        <w:tc>
          <w:tcPr>
            <w:tcW w:type="dxa" w:w="6122"/>
          </w:tcPr>
          <w:p>
            <w:pPr>
              <w:spacing w:after="0"/>
              <w:jc w:val="right"/>
            </w:pPr>
            <w:r>
              <w:rPr>
                <w:sz w:val="16"/>
              </w:rPr>
              <w:t>63,877</w:t>
            </w:r>
          </w:p>
        </w:tc>
      </w:tr>
      <w:tr>
        <w:trPr>
          <w:cantSplit/>
        </w:trPr>
        <w:tc>
          <w:tcPr>
            <w:tcW w:type="dxa" w:w="7990"/>
          </w:tcPr>
          <w:p>
            <w:pPr>
              <w:spacing w:after="0"/>
              <w:jc w:val="left"/>
            </w:pPr>
            <w:r>
              <w:rPr>
                <w:sz w:val="16"/>
              </w:rPr>
              <w:t>Building value (total, not at risk)</w:t>
            </w:r>
          </w:p>
        </w:tc>
        <w:tc>
          <w:tcPr>
            <w:tcW w:type="dxa" w:w="6122"/>
          </w:tcPr>
          <w:p>
            <w:pPr>
              <w:spacing w:after="0"/>
              <w:jc w:val="right"/>
            </w:pPr>
            <w:r>
              <w:rPr>
                <w:sz w:val="16"/>
              </w:rPr>
              <w:t>$14,736,973,122</w:t>
            </w:r>
          </w:p>
        </w:tc>
      </w:tr>
      <w:tr>
        <w:trPr>
          <w:cantSplit/>
        </w:trPr>
        <w:tc>
          <w:tcPr>
            <w:tcW w:type="dxa" w:w="7990"/>
          </w:tcPr>
          <w:p>
            <w:pPr>
              <w:spacing w:after="0"/>
              <w:jc w:val="left"/>
            </w:pPr>
            <w:r>
              <w:rPr>
                <w:sz w:val="16"/>
              </w:rPr>
              <w:t>Agriculture value (total, not at risk)</w:t>
            </w:r>
          </w:p>
        </w:tc>
        <w:tc>
          <w:tcPr>
            <w:tcW w:type="dxa" w:w="6122"/>
          </w:tcPr>
          <w:p>
            <w:pPr>
              <w:spacing w:after="0"/>
              <w:jc w:val="right"/>
            </w:pPr>
            <w:r>
              <w:rPr>
                <w:sz w:val="16"/>
              </w:rPr>
              <w:t>$63,661,886</w:t>
            </w:r>
          </w:p>
        </w:tc>
      </w:tr>
      <w:tr>
        <w:trPr>
          <w:cantSplit/>
        </w:trPr>
        <w:tc>
          <w:tcPr>
            <w:tcW w:type="dxa" w:w="7990"/>
          </w:tcPr>
          <w:p>
            <w:pPr>
              <w:spacing w:after="0"/>
              <w:jc w:val="left"/>
            </w:pPr>
            <w:r>
              <w:rPr>
                <w:sz w:val="16"/>
              </w:rPr>
              <w:t>NRI risk rating (all hazards)</w:t>
            </w:r>
          </w:p>
        </w:tc>
        <w:tc>
          <w:tcPr>
            <w:tcW w:type="dxa" w:w="6122"/>
          </w:tcPr>
          <w:p>
            <w:pPr>
              <w:spacing w:after="0"/>
              <w:jc w:val="right"/>
            </w:pPr>
            <w:r>
              <w:rPr>
                <w:sz w:val="16"/>
              </w:rPr>
              <w:t>Relatively Low</w:t>
            </w:r>
          </w:p>
        </w:tc>
      </w:tr>
      <w:tr>
        <w:trPr>
          <w:cantSplit/>
        </w:trPr>
        <w:tc>
          <w:tcPr>
            <w:tcW w:type="dxa" w:w="7990"/>
          </w:tcPr>
          <w:p>
            <w:pPr>
              <w:spacing w:after="0"/>
              <w:jc w:val="left"/>
            </w:pPr>
            <w:r>
              <w:rPr>
                <w:sz w:val="16"/>
              </w:rPr>
              <w:t>Expected annual loss, buildings and agriculture, all hazards</w:t>
            </w:r>
          </w:p>
        </w:tc>
        <w:tc>
          <w:tcPr>
            <w:tcW w:type="dxa" w:w="6122"/>
          </w:tcPr>
          <w:p>
            <w:pPr>
              <w:spacing w:after="0"/>
              <w:jc w:val="right"/>
            </w:pPr>
            <w:r>
              <w:rPr>
                <w:sz w:val="16"/>
              </w:rPr>
              <w:t>$23,248,268</w:t>
            </w:r>
          </w:p>
        </w:tc>
      </w:tr>
      <w:tr>
        <w:trPr>
          <w:cantSplit/>
        </w:trPr>
        <w:tc>
          <w:tcPr>
            <w:tcW w:type="dxa" w:w="7990"/>
          </w:tcPr>
          <w:p>
            <w:pPr>
              <w:spacing w:after="0"/>
              <w:jc w:val="left"/>
            </w:pPr>
            <w:r>
              <w:rPr>
                <w:sz w:val="16"/>
              </w:rPr>
              <w:t>Expected annual loss, population equivalence, all hazards (NRI values each statistical life at $13.7M; a modeled value of expected deaths and injuries, not property damage)</w:t>
            </w:r>
          </w:p>
        </w:tc>
        <w:tc>
          <w:tcPr>
            <w:tcW w:type="dxa" w:w="6122"/>
          </w:tcPr>
          <w:p>
            <w:pPr>
              <w:spacing w:after="0"/>
              <w:jc w:val="right"/>
            </w:pPr>
            <w:r>
              <w:rPr>
                <w:sz w:val="16"/>
              </w:rPr>
              <w:t>$5,968,806</w:t>
            </w:r>
          </w:p>
        </w:tc>
      </w:tr>
      <w:tr>
        <w:trPr>
          <w:cantSplit/>
        </w:trPr>
        <w:tc>
          <w:tcPr>
            <w:tcW w:type="dxa" w:w="7990"/>
          </w:tcPr>
          <w:p>
            <w:pPr>
              <w:spacing w:after="0"/>
              <w:jc w:val="left"/>
            </w:pPr>
            <w:r>
              <w:rPr>
                <w:sz w:val="16"/>
              </w:rPr>
              <w:t>Social vulnerability rating</w:t>
            </w:r>
          </w:p>
        </w:tc>
        <w:tc>
          <w:tcPr>
            <w:tcW w:type="dxa" w:w="6122"/>
          </w:tcPr>
          <w:p>
            <w:pPr>
              <w:spacing w:after="0"/>
              <w:jc w:val="right"/>
            </w:pPr>
            <w:r>
              <w:rPr>
                <w:sz w:val="16"/>
              </w:rPr>
              <w:t>Very Low</w:t>
            </w:r>
          </w:p>
        </w:tc>
      </w:tr>
      <w:tr>
        <w:trPr>
          <w:cantSplit/>
        </w:trPr>
        <w:tc>
          <w:tcPr>
            <w:tcW w:type="dxa" w:w="7990"/>
          </w:tcPr>
          <w:p>
            <w:pPr>
              <w:spacing w:after="0"/>
              <w:jc w:val="left"/>
            </w:pPr>
            <w:r>
              <w:rPr>
                <w:sz w:val="16"/>
              </w:rPr>
              <w:t>Community resilience rating</w:t>
            </w:r>
          </w:p>
        </w:tc>
        <w:tc>
          <w:tcPr>
            <w:tcW w:type="dxa" w:w="6122"/>
          </w:tcPr>
          <w:p>
            <w:pPr>
              <w:spacing w:after="0"/>
              <w:jc w:val="right"/>
            </w:pPr>
            <w:r>
              <w:rPr>
                <w:sz w:val="16"/>
              </w:rPr>
              <w:t>Very High</w:t>
            </w:r>
          </w:p>
        </w:tc>
      </w:tr>
      <w:tr>
        <w:trPr>
          <w:cantSplit/>
        </w:trPr>
        <w:tc>
          <w:tcPr>
            <w:tcW w:type="dxa" w:w="7990"/>
          </w:tcPr>
          <w:p>
            <w:pPr>
              <w:spacing w:after="0"/>
              <w:jc w:val="left"/>
            </w:pPr>
            <w:r>
              <w:rPr>
                <w:sz w:val="16"/>
              </w:rPr>
              <w:t>NRI version</w:t>
            </w:r>
          </w:p>
        </w:tc>
        <w:tc>
          <w:tcPr>
            <w:tcW w:type="dxa" w:w="6122"/>
          </w:tcPr>
          <w:p>
            <w:pPr>
              <w:spacing w:after="0"/>
              <w:jc w:val="right"/>
            </w:pPr>
            <w:r>
              <w:rPr>
                <w:sz w:val="16"/>
              </w:rPr>
              <w:t>December 2025</w:t>
            </w:r>
          </w:p>
        </w:tc>
      </w:tr>
    </w:tbl>
    <w:p>
      <w:pPr>
        <w:spacing w:after="40" w:before="60"/>
      </w:pPr>
      <w:r>
        <w:rPr>
          <w:sz w:val="15"/>
        </w:rPr>
        <w:t>FEMA's all-hazard expected annual loss total adds buildings, agriculture and population equivalence; the two parts are shown separately so the property figure is not read as including the statistical value of life.</w:t>
      </w:r>
    </w:p>
    <w:p>
      <w:pPr>
        <w:spacing w:after="20" w:before="0"/>
      </w:pPr>
      <w:r>
        <w:rPr>
          <w:b/>
          <w:color w:val="555555"/>
          <w:sz w:val="15"/>
        </w:rPr>
        <w:t xml:space="preserve">Source: </w:t>
      </w:r>
      <w:r>
        <w:rPr>
          <w:color w:val="555555"/>
          <w:sz w:val="15"/>
        </w:rPr>
        <w:t xml:space="preserve">FEMA, FEMA National Risk Index 1.20.0 (December 2025), county and census tract tables, version 1.20.0, pulled 2026-09-28, </w:t>
      </w:r>
      <w:hyperlink r:id="rId13">
        <w:r>
          <w:rPr>
            <w:color w:val="1F4E99"/>
            <w:sz w:val="15"/>
            <w:u w:val="single"/>
          </w:rPr>
          <w:t>https://www.fema.gov/about/reports-and-data/openfema/nri/v120/NRI_Table_Counties.zip</w:t>
        </w:r>
      </w:hyperlink>
      <w:r>
        <w:rPr>
          <w:color w:val="555555"/>
          <w:sz w:val="15"/>
        </w:rPr>
        <w:t xml:space="preserve"> (download, 25 MB)</w:t>
      </w:r>
      <w:r>
        <w:rPr>
          <w:color w:val="555555"/>
          <w:sz w:val="15"/>
        </w:rPr>
        <w:t xml:space="preserve">, </w:t>
      </w:r>
      <w:hyperlink r:id="rId14">
        <w:r>
          <w:rPr>
            <w:color w:val="1F4E99"/>
            <w:sz w:val="15"/>
            <w:u w:val="single"/>
          </w:rPr>
          <w:t>https://www.fema.gov/about/reports-and-data/openfema/nri/v120/NRI_Table_CensusTracts.zip</w:t>
        </w:r>
      </w:hyperlink>
      <w:r>
        <w:rPr>
          <w:color w:val="555555"/>
          <w:sz w:val="15"/>
        </w:rPr>
        <w:t xml:space="preserve"> (download, 635 MB)</w:t>
      </w:r>
    </w:p>
    <w:p>
      <w:pPr>
        <w:spacing w:after="80" w:before="0"/>
      </w:pPr>
    </w:p>
    <w:p>
      <w:pPr>
        <w:pStyle w:val="Heading2"/>
        <w:keepNext/>
        <w:spacing w:after="80"/>
      </w:pPr>
      <w:r>
        <w:rPr/>
        <w:t>Supports B2-c: repetitive loss</w:t>
      </w:r>
    </w:p>
    <w:p>
      <w:pPr>
        <w:pStyle w:val="Heading3"/>
        <w:keepNext/>
        <w:spacing w:after="80"/>
      </w:pPr>
      <w:r>
        <w:rPr/>
        <w:t>Repetitive loss in this county, both definitions</w:t>
      </w:r>
    </w:p>
    <w:tbl>
      <w:tblPr>
        <w:tblW w:type="auto" w:w="0"/>
        <w:jc w:val="left"/>
        <w:tblBorders>
          <w:top w:val="single" w:sz="4" w:space="0" w:color="808080"/>
          <w:left w:val="single" w:sz="4" w:space="0" w:color="808080"/>
          <w:bottom w:val="single" w:sz="4" w:space="0" w:color="808080"/>
          <w:right w:val="single" w:sz="4" w:space="0" w:color="808080"/>
          <w:insideH w:val="single" w:sz="4" w:space="0" w:color="808080"/>
          <w:insideV w:val="single" w:sz="4" w:space="0" w:color="808080"/>
        </w:tblBorders>
        <w:tblLayout w:type="fixed"/>
        <w:tblCellMar>
          <w:top w:w="15" w:type="dxa"/>
          <w:left w:w="60" w:type="dxa"/>
          <w:bottom w:w="15" w:type="dxa"/>
          <w:right w:w="60" w:type="dxa"/>
        </w:tblCellMar>
        <w:tblLook w:firstColumn="1" w:firstRow="1" w:lastColumn="0" w:lastRow="0" w:noHBand="0" w:noVBand="1" w:val="04A0"/>
        <w:tblCaption w:val="Repetitive loss in this county, both definitions"/>
        <w:tblDescription w:val="Hazard Plain table b2c_definitions"/>
      </w:tblPr>
      <w:tblGrid>
        <w:gridCol w:w="5240"/>
        <w:gridCol w:w="1395"/>
        <w:gridCol w:w="6081"/>
        <w:gridCol w:w="1395"/>
      </w:tblGrid>
      <w:tr>
        <w:trPr>
          <w:cantSplit/>
          <w:tblHeader/>
        </w:trPr>
        <w:tc>
          <w:tcPr>
            <w:tcW w:type="dxa" w:w="5240"/>
            <w:shd w:val="clear" w:color="auto" w:fill="E8E8E8"/>
          </w:tcPr>
          <w:p>
            <w:pPr>
              <w:spacing w:after="0"/>
              <w:jc w:val="left"/>
            </w:pPr>
            <w:r>
              <w:rPr>
                <w:b/>
                <w:sz w:val="16"/>
              </w:rPr>
              <w:t>Definition</w:t>
            </w:r>
          </w:p>
        </w:tc>
        <w:tc>
          <w:tcPr>
            <w:tcW w:type="dxa" w:w="1395"/>
            <w:shd w:val="clear" w:color="auto" w:fill="E8E8E8"/>
          </w:tcPr>
          <w:p>
            <w:pPr>
              <w:spacing w:after="0"/>
              <w:jc w:val="right"/>
            </w:pPr>
            <w:r>
              <w:rPr>
                <w:b/>
                <w:sz w:val="16"/>
              </w:rPr>
              <w:t>Properties</w:t>
            </w:r>
          </w:p>
        </w:tc>
        <w:tc>
          <w:tcPr>
            <w:tcW w:type="dxa" w:w="6081"/>
            <w:shd w:val="clear" w:color="auto" w:fill="E8E8E8"/>
          </w:tcPr>
          <w:p>
            <w:pPr>
              <w:spacing w:after="0"/>
              <w:jc w:val="left"/>
            </w:pPr>
            <w:r>
              <w:rPr>
                <w:b/>
                <w:sz w:val="16"/>
              </w:rPr>
              <w:t>Severe repetitive loss</w:t>
            </w:r>
          </w:p>
        </w:tc>
        <w:tc>
          <w:tcPr>
            <w:tcW w:type="dxa" w:w="1395"/>
            <w:shd w:val="clear" w:color="auto" w:fill="E8E8E8"/>
          </w:tcPr>
          <w:p>
            <w:pPr>
              <w:spacing w:after="0"/>
              <w:jc w:val="right"/>
            </w:pPr>
            <w:r>
              <w:rPr>
                <w:b/>
                <w:sz w:val="16"/>
              </w:rPr>
              <w:t>Properties</w:t>
            </w:r>
          </w:p>
        </w:tc>
      </w:tr>
      <w:tr>
        <w:trPr>
          <w:cantSplit/>
        </w:trPr>
        <w:tc>
          <w:tcPr>
            <w:tcW w:type="dxa" w:w="5240"/>
          </w:tcPr>
          <w:p>
            <w:pPr>
              <w:spacing w:after="0"/>
              <w:jc w:val="left"/>
            </w:pPr>
            <w:r>
              <w:rPr>
                <w:sz w:val="16"/>
              </w:rPr>
              <w:t>Repetitive loss, FMA definition (44 CFR 77.2)</w:t>
            </w:r>
          </w:p>
        </w:tc>
        <w:tc>
          <w:tcPr>
            <w:tcW w:type="dxa" w:w="1395"/>
          </w:tcPr>
          <w:p>
            <w:pPr>
              <w:spacing w:after="0"/>
              <w:jc w:val="right"/>
            </w:pPr>
            <w:r>
              <w:rPr>
                <w:sz w:val="16"/>
              </w:rPr>
              <w:t>1</w:t>
            </w:r>
          </w:p>
        </w:tc>
        <w:tc>
          <w:tcPr>
            <w:tcW w:type="dxa" w:w="6081"/>
          </w:tcPr>
          <w:p>
            <w:pPr>
              <w:spacing w:after="0"/>
              <w:jc w:val="left"/>
            </w:pPr>
            <w:r>
              <w:rPr>
                <w:sz w:val="16"/>
              </w:rPr>
              <w:t>Severe repetitive loss, FMA definition (44 CFR 77.2)</w:t>
            </w:r>
          </w:p>
        </w:tc>
        <w:tc>
          <w:tcPr>
            <w:tcW w:type="dxa" w:w="1395"/>
          </w:tcPr>
          <w:p>
            <w:pPr>
              <w:spacing w:after="0"/>
              <w:jc w:val="right"/>
            </w:pPr>
            <w:r>
              <w:rPr>
                <w:sz w:val="16"/>
              </w:rPr>
              <w:t>2</w:t>
            </w:r>
          </w:p>
        </w:tc>
      </w:tr>
      <w:tr>
        <w:trPr>
          <w:cantSplit/>
        </w:trPr>
        <w:tc>
          <w:tcPr>
            <w:tcW w:type="dxa" w:w="5240"/>
          </w:tcPr>
          <w:p>
            <w:pPr>
              <w:spacing w:after="0"/>
              <w:jc w:val="left"/>
            </w:pPr>
            <w:r>
              <w:rPr>
                <w:sz w:val="16"/>
              </w:rPr>
              <w:t>Repetitive loss, NFIP insurance definition</w:t>
            </w:r>
          </w:p>
        </w:tc>
        <w:tc>
          <w:tcPr>
            <w:tcW w:type="dxa" w:w="1395"/>
          </w:tcPr>
          <w:p>
            <w:pPr>
              <w:spacing w:after="0"/>
              <w:jc w:val="right"/>
            </w:pPr>
            <w:r>
              <w:rPr>
                <w:sz w:val="16"/>
              </w:rPr>
              <w:t>7</w:t>
            </w:r>
          </w:p>
        </w:tc>
        <w:tc>
          <w:tcPr>
            <w:tcW w:type="dxa" w:w="6081"/>
          </w:tcPr>
          <w:p>
            <w:pPr>
              <w:spacing w:after="0"/>
              <w:jc w:val="left"/>
            </w:pPr>
            <w:r>
              <w:rPr>
                <w:sz w:val="16"/>
              </w:rPr>
              <w:t>Severe repetitive loss, NFIP insurance definition</w:t>
            </w:r>
          </w:p>
        </w:tc>
        <w:tc>
          <w:tcPr>
            <w:tcW w:type="dxa" w:w="1395"/>
          </w:tcPr>
          <w:p>
            <w:pPr>
              <w:spacing w:after="0"/>
              <w:jc w:val="right"/>
            </w:pPr>
            <w:r>
              <w:rPr>
                <w:sz w:val="16"/>
              </w:rPr>
              <w:t>1</w:t>
            </w:r>
          </w:p>
        </w:tc>
      </w:tr>
    </w:tbl>
    <w:p>
      <w:pPr>
        <w:spacing w:after="40" w:before="60"/>
      </w:pPr>
      <w:r>
        <w:rPr>
          <w:sz w:val="15"/>
        </w:rPr>
        <w:t>Your state NFIP coordinator's list may use the NFIP insurance definition, so its counts can be higher.</w:t>
      </w:r>
    </w:p>
    <w:p>
      <w:pPr>
        <w:spacing w:after="20" w:before="0"/>
      </w:pPr>
      <w:r>
        <w:rPr>
          <w:b/>
          <w:color w:val="555555"/>
          <w:sz w:val="15"/>
        </w:rPr>
        <w:t xml:space="preserve">Source: </w:t>
      </w:r>
      <w:r>
        <w:rPr>
          <w:color w:val="555555"/>
          <w:sz w:val="15"/>
        </w:rPr>
        <w:t xml:space="preserve">FEMA, </w:t>
      </w:r>
      <w:hyperlink r:id="rId22">
        <w:r>
          <w:rPr>
            <w:color w:val="1F4E99"/>
            <w:sz w:val="15"/>
            <w:u w:val="single"/>
          </w:rPr>
          <w:t>OpenFEMA NfipMultipleLossProperties v1</w:t>
        </w:r>
      </w:hyperlink>
      <w:r>
        <w:rPr>
          <w:color w:val="555555"/>
          <w:sz w:val="15"/>
        </w:rPr>
        <w:t xml:space="preserve">, version 2026-08-04T164045Z, pulled 2026-09-28, </w:t>
      </w:r>
      <w:hyperlink r:id="rId23">
        <w:r>
          <w:rPr>
            <w:color w:val="1F4E99"/>
            <w:sz w:val="15"/>
            <w:u w:val="single"/>
          </w:rPr>
          <w:t>https://www.fema.gov/api/open/v1/NfipMultipleLossProperties</w:t>
        </w:r>
      </w:hyperlink>
      <w:r>
        <w:rPr>
          <w:color w:val="555555"/>
          <w:sz w:val="15"/>
        </w:rPr>
        <w:t xml:space="preserve"> (API)</w:t>
      </w:r>
    </w:p>
    <w:p>
      <w:pPr>
        <w:spacing w:after="20" w:before="0"/>
      </w:pPr>
      <w:r>
        <w:rPr>
          <w:b/>
          <w:color w:val="555555"/>
          <w:sz w:val="15"/>
        </w:rPr>
        <w:t xml:space="preserve">Source: </w:t>
      </w:r>
      <w:r>
        <w:rPr>
          <w:color w:val="555555"/>
          <w:sz w:val="15"/>
        </w:rPr>
        <w:t xml:space="preserve">FEMA, </w:t>
      </w:r>
      <w:hyperlink r:id="rId11">
        <w:r>
          <w:rPr>
            <w:color w:val="1F4E99"/>
            <w:sz w:val="15"/>
            <w:u w:val="single"/>
          </w:rPr>
          <w:t>OpenFEMA HazardMitigationPlanStatuses v1</w:t>
        </w:r>
      </w:hyperlink>
      <w:r>
        <w:rPr>
          <w:color w:val="555555"/>
          <w:sz w:val="15"/>
        </w:rPr>
        <w:t xml:space="preserve">, version 2026-09-26T121003Z, pulled 2026-09-28, </w:t>
      </w:r>
      <w:hyperlink r:id="rId12">
        <w:r>
          <w:rPr>
            <w:color w:val="1F4E99"/>
            <w:sz w:val="15"/>
            <w:u w:val="single"/>
          </w:rPr>
          <w:t>https://www.fema.gov/api/open/v1/HazardMitigationPlanStatuses</w:t>
        </w:r>
      </w:hyperlink>
      <w:r>
        <w:rPr>
          <w:color w:val="555555"/>
          <w:sz w:val="15"/>
        </w:rPr>
        <w:t xml:space="preserve"> (API)</w:t>
      </w:r>
    </w:p>
    <w:p>
      <w:pPr>
        <w:spacing w:after="80" w:before="0"/>
      </w:pPr>
    </w:p>
    <w:p>
      <w:pPr>
        <w:pStyle w:val="Heading3"/>
        <w:keepNext/>
        <w:spacing w:after="80"/>
      </w:pPr>
      <w:r>
        <w:rPr/>
        <w:t>Repeat-flood properties: county and state-level rows</w:t>
      </w:r>
    </w:p>
    <w:tbl>
      <w:tblPr>
        <w:tblW w:type="auto" w:w="0"/>
        <w:jc w:val="left"/>
        <w:tblBorders>
          <w:top w:val="single" w:sz="4" w:space="0" w:color="808080"/>
          <w:left w:val="single" w:sz="4" w:space="0" w:color="808080"/>
          <w:bottom w:val="single" w:sz="4" w:space="0" w:color="808080"/>
          <w:right w:val="single" w:sz="4" w:space="0" w:color="808080"/>
          <w:insideH w:val="single" w:sz="4" w:space="0" w:color="808080"/>
          <w:insideV w:val="single" w:sz="4" w:space="0" w:color="808080"/>
        </w:tblBorders>
        <w:tblLayout w:type="fixed"/>
        <w:tblCellMar>
          <w:top w:w="15" w:type="dxa"/>
          <w:left w:w="60" w:type="dxa"/>
          <w:bottom w:w="15" w:type="dxa"/>
          <w:right w:w="60" w:type="dxa"/>
        </w:tblCellMar>
        <w:tblLook w:firstColumn="1" w:firstRow="1" w:lastColumn="0" w:lastRow="0" w:noHBand="0" w:noVBand="1" w:val="04A0"/>
        <w:tblCaption w:val="Repeat-flood properties: county and state-level rows"/>
        <w:tblDescription w:val="Hazard Plain table b2c_county"/>
      </w:tblPr>
      <w:tblGrid>
        <w:gridCol w:w="2934"/>
        <w:gridCol w:w="1572"/>
        <w:gridCol w:w="1572"/>
        <w:gridCol w:w="1572"/>
        <w:gridCol w:w="1572"/>
        <w:gridCol w:w="1572"/>
        <w:gridCol w:w="1572"/>
        <w:gridCol w:w="1749"/>
      </w:tblGrid>
      <w:tr>
        <w:trPr>
          <w:cantSplit/>
          <w:tblHeader/>
        </w:trPr>
        <w:tc>
          <w:tcPr>
            <w:tcW w:type="dxa" w:w="2934"/>
            <w:shd w:val="clear" w:color="auto" w:fill="E8E8E8"/>
          </w:tcPr>
          <w:p>
            <w:pPr>
              <w:spacing w:after="0"/>
              <w:jc w:val="left"/>
            </w:pPr>
            <w:r>
              <w:rPr>
                <w:b/>
                <w:sz w:val="16"/>
              </w:rPr>
              <w:t>Scope</w:t>
            </w:r>
          </w:p>
        </w:tc>
        <w:tc>
          <w:tcPr>
            <w:tcW w:type="dxa" w:w="1572"/>
            <w:shd w:val="clear" w:color="auto" w:fill="E8E8E8"/>
          </w:tcPr>
          <w:p>
            <w:pPr>
              <w:spacing w:after="0"/>
              <w:jc w:val="right"/>
            </w:pPr>
            <w:r>
              <w:rPr>
                <w:b/>
                <w:sz w:val="16"/>
              </w:rPr>
              <w:t>RL, FMA</w:t>
            </w:r>
          </w:p>
          <w:p>
            <w:pPr>
              <w:spacing w:after="0"/>
              <w:jc w:val="right"/>
            </w:pPr>
            <w:r>
              <w:rPr>
                <w:i/>
                <w:color w:val="555555"/>
                <w:sz w:val="14"/>
              </w:rPr>
              <w:t>properties</w:t>
            </w:r>
          </w:p>
        </w:tc>
        <w:tc>
          <w:tcPr>
            <w:tcW w:type="dxa" w:w="1572"/>
            <w:shd w:val="clear" w:color="auto" w:fill="E8E8E8"/>
          </w:tcPr>
          <w:p>
            <w:pPr>
              <w:spacing w:after="0"/>
              <w:jc w:val="right"/>
            </w:pPr>
            <w:r>
              <w:rPr>
                <w:b/>
                <w:sz w:val="16"/>
              </w:rPr>
              <w:t>SRL, FMA</w:t>
            </w:r>
          </w:p>
          <w:p>
            <w:pPr>
              <w:spacing w:after="0"/>
              <w:jc w:val="right"/>
            </w:pPr>
            <w:r>
              <w:rPr>
                <w:i/>
                <w:color w:val="555555"/>
                <w:sz w:val="14"/>
              </w:rPr>
              <w:t>properties</w:t>
            </w:r>
          </w:p>
        </w:tc>
        <w:tc>
          <w:tcPr>
            <w:tcW w:type="dxa" w:w="1572"/>
            <w:shd w:val="clear" w:color="auto" w:fill="E8E8E8"/>
          </w:tcPr>
          <w:p>
            <w:pPr>
              <w:spacing w:after="0"/>
              <w:jc w:val="right"/>
            </w:pPr>
            <w:r>
              <w:rPr>
                <w:b/>
                <w:sz w:val="16"/>
              </w:rPr>
              <w:t>RL, NFIP</w:t>
            </w:r>
          </w:p>
          <w:p>
            <w:pPr>
              <w:spacing w:after="0"/>
              <w:jc w:val="right"/>
            </w:pPr>
            <w:r>
              <w:rPr>
                <w:i/>
                <w:color w:val="555555"/>
                <w:sz w:val="14"/>
              </w:rPr>
              <w:t>properties</w:t>
            </w:r>
          </w:p>
        </w:tc>
        <w:tc>
          <w:tcPr>
            <w:tcW w:type="dxa" w:w="1572"/>
            <w:shd w:val="clear" w:color="auto" w:fill="E8E8E8"/>
          </w:tcPr>
          <w:p>
            <w:pPr>
              <w:spacing w:after="0"/>
              <w:jc w:val="right"/>
            </w:pPr>
            <w:r>
              <w:rPr>
                <w:b/>
                <w:sz w:val="16"/>
              </w:rPr>
              <w:t>SRL, NFIP</w:t>
            </w:r>
          </w:p>
          <w:p>
            <w:pPr>
              <w:spacing w:after="0"/>
              <w:jc w:val="right"/>
            </w:pPr>
            <w:r>
              <w:rPr>
                <w:i/>
                <w:color w:val="555555"/>
                <w:sz w:val="14"/>
              </w:rPr>
              <w:t>properties</w:t>
            </w:r>
          </w:p>
        </w:tc>
        <w:tc>
          <w:tcPr>
            <w:tcW w:type="dxa" w:w="1572"/>
            <w:shd w:val="clear" w:color="auto" w:fill="E8E8E8"/>
          </w:tcPr>
          <w:p>
            <w:pPr>
              <w:spacing w:after="0"/>
              <w:jc w:val="right"/>
            </w:pPr>
            <w:r>
              <w:rPr>
                <w:b/>
                <w:sz w:val="16"/>
              </w:rPr>
              <w:t>Any category</w:t>
            </w:r>
          </w:p>
          <w:p>
            <w:pPr>
              <w:spacing w:after="0"/>
              <w:jc w:val="right"/>
            </w:pPr>
            <w:r>
              <w:rPr>
                <w:i/>
                <w:color w:val="555555"/>
                <w:sz w:val="14"/>
              </w:rPr>
              <w:t>properties</w:t>
            </w:r>
          </w:p>
        </w:tc>
        <w:tc>
          <w:tcPr>
            <w:tcW w:type="dxa" w:w="1572"/>
            <w:shd w:val="clear" w:color="auto" w:fill="E8E8E8"/>
          </w:tcPr>
          <w:p>
            <w:pPr>
              <w:spacing w:after="0"/>
              <w:jc w:val="right"/>
            </w:pPr>
            <w:r>
              <w:rPr>
                <w:b/>
                <w:sz w:val="16"/>
              </w:rPr>
              <w:t>Mitigated</w:t>
            </w:r>
          </w:p>
          <w:p>
            <w:pPr>
              <w:spacing w:after="0"/>
              <w:jc w:val="right"/>
            </w:pPr>
            <w:r>
              <w:rPr>
                <w:i/>
                <w:color w:val="555555"/>
                <w:sz w:val="14"/>
              </w:rPr>
              <w:t>properties</w:t>
            </w:r>
          </w:p>
        </w:tc>
        <w:tc>
          <w:tcPr>
            <w:tcW w:type="dxa" w:w="1749"/>
            <w:shd w:val="clear" w:color="auto" w:fill="E8E8E8"/>
          </w:tcPr>
          <w:p>
            <w:pPr>
              <w:spacing w:after="0"/>
              <w:jc w:val="right"/>
            </w:pPr>
            <w:r>
              <w:rPr>
                <w:b/>
                <w:sz w:val="16"/>
              </w:rPr>
              <w:t>Currently insured</w:t>
            </w:r>
          </w:p>
          <w:p>
            <w:pPr>
              <w:spacing w:after="0"/>
              <w:jc w:val="right"/>
            </w:pPr>
            <w:r>
              <w:rPr>
                <w:i/>
                <w:color w:val="555555"/>
                <w:sz w:val="14"/>
              </w:rPr>
              <w:t>properties</w:t>
            </w:r>
          </w:p>
        </w:tc>
      </w:tr>
      <w:tr>
        <w:trPr>
          <w:cantSplit/>
        </w:trPr>
        <w:tc>
          <w:tcPr>
            <w:tcW w:type="dxa" w:w="2934"/>
          </w:tcPr>
          <w:p>
            <w:pPr>
              <w:spacing w:after="0"/>
              <w:jc w:val="left"/>
            </w:pPr>
            <w:r>
              <w:rPr>
                <w:sz w:val="16"/>
              </w:rPr>
              <w:t>County total</w:t>
            </w:r>
          </w:p>
        </w:tc>
        <w:tc>
          <w:tcPr>
            <w:tcW w:type="dxa" w:w="1572"/>
          </w:tcPr>
          <w:p>
            <w:pPr>
              <w:spacing w:after="0"/>
              <w:jc w:val="right"/>
            </w:pPr>
            <w:r>
              <w:rPr>
                <w:sz w:val="16"/>
              </w:rPr>
              <w:t>1</w:t>
            </w:r>
          </w:p>
        </w:tc>
        <w:tc>
          <w:tcPr>
            <w:tcW w:type="dxa" w:w="1572"/>
          </w:tcPr>
          <w:p>
            <w:pPr>
              <w:spacing w:after="0"/>
              <w:jc w:val="right"/>
            </w:pPr>
            <w:r>
              <w:rPr>
                <w:sz w:val="16"/>
              </w:rPr>
              <w:t>2</w:t>
            </w:r>
          </w:p>
        </w:tc>
        <w:tc>
          <w:tcPr>
            <w:tcW w:type="dxa" w:w="1572"/>
          </w:tcPr>
          <w:p>
            <w:pPr>
              <w:spacing w:after="0"/>
              <w:jc w:val="right"/>
            </w:pPr>
            <w:r>
              <w:rPr>
                <w:sz w:val="16"/>
              </w:rPr>
              <w:t>7</w:t>
            </w:r>
          </w:p>
        </w:tc>
        <w:tc>
          <w:tcPr>
            <w:tcW w:type="dxa" w:w="1572"/>
          </w:tcPr>
          <w:p>
            <w:pPr>
              <w:spacing w:after="0"/>
              <w:jc w:val="right"/>
            </w:pPr>
            <w:r>
              <w:rPr>
                <w:sz w:val="16"/>
              </w:rPr>
              <w:t>1</w:t>
            </w:r>
          </w:p>
        </w:tc>
        <w:tc>
          <w:tcPr>
            <w:tcW w:type="dxa" w:w="1572"/>
          </w:tcPr>
          <w:p>
            <w:pPr>
              <w:spacing w:after="0"/>
              <w:jc w:val="right"/>
            </w:pPr>
            <w:r>
              <w:rPr>
                <w:sz w:val="16"/>
              </w:rPr>
              <w:t>7</w:t>
            </w:r>
          </w:p>
        </w:tc>
        <w:tc>
          <w:tcPr>
            <w:tcW w:type="dxa" w:w="1572"/>
          </w:tcPr>
          <w:p>
            <w:pPr>
              <w:spacing w:after="0"/>
              <w:jc w:val="right"/>
            </w:pPr>
            <w:r>
              <w:rPr>
                <w:sz w:val="16"/>
              </w:rPr>
              <w:t>0</w:t>
            </w:r>
          </w:p>
        </w:tc>
        <w:tc>
          <w:tcPr>
            <w:tcW w:type="dxa" w:w="1749"/>
          </w:tcPr>
          <w:p>
            <w:pPr>
              <w:spacing w:after="0"/>
              <w:jc w:val="right"/>
            </w:pPr>
            <w:r>
              <w:rPr>
                <w:sz w:val="16"/>
              </w:rPr>
              <w:t>4</w:t>
            </w:r>
          </w:p>
        </w:tc>
      </w:tr>
      <w:tr>
        <w:trPr>
          <w:cantSplit/>
        </w:trPr>
        <w:tc>
          <w:tcPr>
            <w:tcW w:type="dxa" w:w="2934"/>
          </w:tcPr>
          <w:p>
            <w:pPr>
              <w:spacing w:after="0"/>
              <w:jc w:val="left"/>
            </w:pPr>
            <w:r>
              <w:rPr>
                <w:sz w:val="16"/>
              </w:rPr>
              <w:t>CHANDLER, TOWN OF</w:t>
            </w:r>
          </w:p>
        </w:tc>
        <w:tc>
          <w:tcPr>
            <w:tcW w:type="dxa" w:w="1572"/>
          </w:tcPr>
          <w:p>
            <w:pPr>
              <w:spacing w:after="0"/>
              <w:jc w:val="right"/>
            </w:pPr>
            <w:r>
              <w:rPr>
                <w:sz w:val="16"/>
              </w:rPr>
              <w:t>0</w:t>
            </w:r>
          </w:p>
        </w:tc>
        <w:tc>
          <w:tcPr>
            <w:tcW w:type="dxa" w:w="1572"/>
          </w:tcPr>
          <w:p>
            <w:pPr>
              <w:spacing w:after="0"/>
              <w:jc w:val="right"/>
            </w:pPr>
            <w:r>
              <w:rPr>
                <w:sz w:val="16"/>
              </w:rPr>
              <w:t>0</w:t>
            </w:r>
          </w:p>
        </w:tc>
        <w:tc>
          <w:tcPr>
            <w:tcW w:type="dxa" w:w="1572"/>
          </w:tcPr>
          <w:p>
            <w:pPr>
              <w:spacing w:after="0"/>
              <w:jc w:val="right"/>
            </w:pPr>
            <w:r>
              <w:rPr>
                <w:sz w:val="16"/>
              </w:rPr>
              <w:t>1</w:t>
            </w:r>
          </w:p>
        </w:tc>
        <w:tc>
          <w:tcPr>
            <w:tcW w:type="dxa" w:w="1572"/>
          </w:tcPr>
          <w:p>
            <w:pPr>
              <w:spacing w:after="0"/>
              <w:jc w:val="right"/>
            </w:pPr>
            <w:r>
              <w:rPr>
                <w:sz w:val="16"/>
              </w:rPr>
              <w:t>0</w:t>
            </w:r>
          </w:p>
        </w:tc>
        <w:tc>
          <w:tcPr>
            <w:tcW w:type="dxa" w:w="1572"/>
          </w:tcPr>
          <w:p>
            <w:pPr>
              <w:spacing w:after="0"/>
              <w:jc w:val="right"/>
            </w:pPr>
            <w:r>
              <w:rPr>
                <w:sz w:val="16"/>
              </w:rPr>
              <w:t>1</w:t>
            </w:r>
          </w:p>
        </w:tc>
        <w:tc>
          <w:tcPr>
            <w:tcW w:type="dxa" w:w="1572"/>
          </w:tcPr>
          <w:p>
            <w:pPr>
              <w:spacing w:after="0"/>
              <w:jc w:val="right"/>
            </w:pPr>
            <w:r>
              <w:rPr>
                <w:sz w:val="16"/>
              </w:rPr>
              <w:t>0</w:t>
            </w:r>
          </w:p>
        </w:tc>
        <w:tc>
          <w:tcPr>
            <w:tcW w:type="dxa" w:w="1749"/>
          </w:tcPr>
          <w:p>
            <w:pPr>
              <w:spacing w:after="0"/>
              <w:jc w:val="right"/>
            </w:pPr>
            <w:r>
              <w:rPr>
                <w:sz w:val="16"/>
              </w:rPr>
              <w:t>1</w:t>
            </w:r>
          </w:p>
        </w:tc>
      </w:tr>
      <w:tr>
        <w:trPr>
          <w:cantSplit/>
        </w:trPr>
        <w:tc>
          <w:tcPr>
            <w:tcW w:type="dxa" w:w="2934"/>
          </w:tcPr>
          <w:p>
            <w:pPr>
              <w:spacing w:after="0"/>
              <w:jc w:val="left"/>
            </w:pPr>
            <w:r>
              <w:rPr>
                <w:sz w:val="16"/>
              </w:rPr>
              <w:t>NEWBURGH, TOWN OF</w:t>
            </w:r>
          </w:p>
        </w:tc>
        <w:tc>
          <w:tcPr>
            <w:tcW w:type="dxa" w:w="1572"/>
          </w:tcPr>
          <w:p>
            <w:pPr>
              <w:spacing w:after="0"/>
              <w:jc w:val="right"/>
            </w:pPr>
            <w:r>
              <w:rPr>
                <w:sz w:val="16"/>
              </w:rPr>
              <w:t>1</w:t>
            </w:r>
          </w:p>
        </w:tc>
        <w:tc>
          <w:tcPr>
            <w:tcW w:type="dxa" w:w="1572"/>
          </w:tcPr>
          <w:p>
            <w:pPr>
              <w:spacing w:after="0"/>
              <w:jc w:val="right"/>
            </w:pPr>
            <w:r>
              <w:rPr>
                <w:sz w:val="16"/>
              </w:rPr>
              <w:t>1</w:t>
            </w:r>
          </w:p>
        </w:tc>
        <w:tc>
          <w:tcPr>
            <w:tcW w:type="dxa" w:w="1572"/>
          </w:tcPr>
          <w:p>
            <w:pPr>
              <w:spacing w:after="0"/>
              <w:jc w:val="right"/>
            </w:pPr>
            <w:r>
              <w:rPr>
                <w:sz w:val="16"/>
              </w:rPr>
              <w:t>3</w:t>
            </w:r>
          </w:p>
        </w:tc>
        <w:tc>
          <w:tcPr>
            <w:tcW w:type="dxa" w:w="1572"/>
          </w:tcPr>
          <w:p>
            <w:pPr>
              <w:spacing w:after="0"/>
              <w:jc w:val="right"/>
            </w:pPr>
            <w:r>
              <w:rPr>
                <w:sz w:val="16"/>
              </w:rPr>
              <w:t>0</w:t>
            </w:r>
          </w:p>
        </w:tc>
        <w:tc>
          <w:tcPr>
            <w:tcW w:type="dxa" w:w="1572"/>
          </w:tcPr>
          <w:p>
            <w:pPr>
              <w:spacing w:after="0"/>
              <w:jc w:val="right"/>
            </w:pPr>
            <w:r>
              <w:rPr>
                <w:sz w:val="16"/>
              </w:rPr>
              <w:t>3</w:t>
            </w:r>
          </w:p>
        </w:tc>
        <w:tc>
          <w:tcPr>
            <w:tcW w:type="dxa" w:w="1572"/>
          </w:tcPr>
          <w:p>
            <w:pPr>
              <w:spacing w:after="0"/>
              <w:jc w:val="right"/>
            </w:pPr>
            <w:r>
              <w:rPr>
                <w:sz w:val="16"/>
              </w:rPr>
              <w:t>0</w:t>
            </w:r>
          </w:p>
        </w:tc>
        <w:tc>
          <w:tcPr>
            <w:tcW w:type="dxa" w:w="1749"/>
          </w:tcPr>
          <w:p>
            <w:pPr>
              <w:spacing w:after="0"/>
              <w:jc w:val="right"/>
            </w:pPr>
            <w:r>
              <w:rPr>
                <w:sz w:val="16"/>
              </w:rPr>
              <w:t>1</w:t>
            </w:r>
          </w:p>
        </w:tc>
      </w:tr>
      <w:tr>
        <w:trPr>
          <w:cantSplit/>
        </w:trPr>
        <w:tc>
          <w:tcPr>
            <w:tcW w:type="dxa" w:w="2934"/>
          </w:tcPr>
          <w:p>
            <w:pPr>
              <w:spacing w:after="0"/>
              <w:jc w:val="left"/>
            </w:pPr>
            <w:r>
              <w:rPr>
                <w:sz w:val="16"/>
              </w:rPr>
              <w:t>WARRICK COUNTY *</w:t>
            </w:r>
          </w:p>
        </w:tc>
        <w:tc>
          <w:tcPr>
            <w:tcW w:type="dxa" w:w="1572"/>
          </w:tcPr>
          <w:p>
            <w:pPr>
              <w:spacing w:after="0"/>
              <w:jc w:val="right"/>
            </w:pPr>
            <w:r>
              <w:rPr>
                <w:sz w:val="16"/>
              </w:rPr>
              <w:t>0</w:t>
            </w:r>
          </w:p>
        </w:tc>
        <w:tc>
          <w:tcPr>
            <w:tcW w:type="dxa" w:w="1572"/>
          </w:tcPr>
          <w:p>
            <w:pPr>
              <w:spacing w:after="0"/>
              <w:jc w:val="right"/>
            </w:pPr>
            <w:r>
              <w:rPr>
                <w:sz w:val="16"/>
              </w:rPr>
              <w:t>1</w:t>
            </w:r>
          </w:p>
        </w:tc>
        <w:tc>
          <w:tcPr>
            <w:tcW w:type="dxa" w:w="1572"/>
          </w:tcPr>
          <w:p>
            <w:pPr>
              <w:spacing w:after="0"/>
              <w:jc w:val="right"/>
            </w:pPr>
            <w:r>
              <w:rPr>
                <w:sz w:val="16"/>
              </w:rPr>
              <w:t>3</w:t>
            </w:r>
          </w:p>
        </w:tc>
        <w:tc>
          <w:tcPr>
            <w:tcW w:type="dxa" w:w="1572"/>
          </w:tcPr>
          <w:p>
            <w:pPr>
              <w:spacing w:after="0"/>
              <w:jc w:val="right"/>
            </w:pPr>
            <w:r>
              <w:rPr>
                <w:sz w:val="16"/>
              </w:rPr>
              <w:t>1</w:t>
            </w:r>
          </w:p>
        </w:tc>
        <w:tc>
          <w:tcPr>
            <w:tcW w:type="dxa" w:w="1572"/>
          </w:tcPr>
          <w:p>
            <w:pPr>
              <w:spacing w:after="0"/>
              <w:jc w:val="right"/>
            </w:pPr>
            <w:r>
              <w:rPr>
                <w:sz w:val="16"/>
              </w:rPr>
              <w:t>3</w:t>
            </w:r>
          </w:p>
        </w:tc>
        <w:tc>
          <w:tcPr>
            <w:tcW w:type="dxa" w:w="1572"/>
          </w:tcPr>
          <w:p>
            <w:pPr>
              <w:spacing w:after="0"/>
              <w:jc w:val="right"/>
            </w:pPr>
            <w:r>
              <w:rPr>
                <w:sz w:val="16"/>
              </w:rPr>
              <w:t>0</w:t>
            </w:r>
          </w:p>
        </w:tc>
        <w:tc>
          <w:tcPr>
            <w:tcW w:type="dxa" w:w="1749"/>
          </w:tcPr>
          <w:p>
            <w:pPr>
              <w:spacing w:after="0"/>
              <w:jc w:val="right"/>
            </w:pPr>
            <w:r>
              <w:rPr>
                <w:sz w:val="16"/>
              </w:rPr>
              <w:t>2</w:t>
            </w:r>
          </w:p>
        </w:tc>
      </w:tr>
      <w:tr>
        <w:trPr>
          <w:cantSplit/>
        </w:trPr>
        <w:tc>
          <w:tcPr>
            <w:tcW w:type="dxa" w:w="2934"/>
          </w:tcPr>
          <w:p>
            <w:pPr>
              <w:spacing w:after="0"/>
              <w:jc w:val="left"/>
            </w:pPr>
            <w:r>
              <w:rPr>
                <w:sz w:val="16"/>
              </w:rPr>
              <w:t>State level, not in this county: county not reported</w:t>
            </w:r>
          </w:p>
        </w:tc>
        <w:tc>
          <w:tcPr>
            <w:tcW w:type="dxa" w:w="1572"/>
          </w:tcPr>
          <w:p>
            <w:pPr>
              <w:spacing w:after="0"/>
              <w:jc w:val="right"/>
            </w:pPr>
            <w:r>
              <w:rPr>
                <w:sz w:val="16"/>
              </w:rPr>
              <w:t>0</w:t>
            </w:r>
          </w:p>
        </w:tc>
        <w:tc>
          <w:tcPr>
            <w:tcW w:type="dxa" w:w="1572"/>
          </w:tcPr>
          <w:p>
            <w:pPr>
              <w:spacing w:after="0"/>
              <w:jc w:val="right"/>
            </w:pPr>
            <w:r>
              <w:rPr>
                <w:sz w:val="16"/>
              </w:rPr>
              <w:t>0</w:t>
            </w:r>
          </w:p>
        </w:tc>
        <w:tc>
          <w:tcPr>
            <w:tcW w:type="dxa" w:w="1572"/>
          </w:tcPr>
          <w:p>
            <w:pPr>
              <w:spacing w:after="0"/>
              <w:jc w:val="right"/>
            </w:pPr>
            <w:r>
              <w:rPr>
                <w:sz w:val="16"/>
              </w:rPr>
              <w:t>6</w:t>
            </w:r>
          </w:p>
        </w:tc>
        <w:tc>
          <w:tcPr>
            <w:tcW w:type="dxa" w:w="1572"/>
          </w:tcPr>
          <w:p>
            <w:pPr>
              <w:spacing w:after="0"/>
              <w:jc w:val="right"/>
            </w:pPr>
            <w:r>
              <w:rPr>
                <w:sz w:val="16"/>
              </w:rPr>
              <w:t>0</w:t>
            </w:r>
          </w:p>
        </w:tc>
        <w:tc>
          <w:tcPr>
            <w:tcW w:type="dxa" w:w="1572"/>
          </w:tcPr>
          <w:p>
            <w:pPr>
              <w:spacing w:after="0"/>
              <w:jc w:val="right"/>
            </w:pPr>
            <w:r>
              <w:rPr>
                <w:sz w:val="16"/>
              </w:rPr>
              <w:t>6</w:t>
            </w:r>
          </w:p>
        </w:tc>
        <w:tc>
          <w:tcPr>
            <w:tcW w:type="dxa" w:w="1572"/>
          </w:tcPr>
          <w:p>
            <w:pPr>
              <w:spacing w:after="0"/>
              <w:jc w:val="right"/>
            </w:pPr>
            <w:r>
              <w:rPr>
                <w:sz w:val="16"/>
              </w:rPr>
              <w:t>0</w:t>
            </w:r>
          </w:p>
        </w:tc>
        <w:tc>
          <w:tcPr>
            <w:tcW w:type="dxa" w:w="1749"/>
          </w:tcPr>
          <w:p>
            <w:pPr>
              <w:spacing w:after="0"/>
              <w:jc w:val="right"/>
            </w:pPr>
            <w:r>
              <w:rPr>
                <w:sz w:val="16"/>
              </w:rPr>
              <w:t>0</w:t>
            </w:r>
          </w:p>
        </w:tc>
      </w:tr>
    </w:tbl>
    <w:p>
      <w:pPr>
        <w:spacing w:after="20" w:before="0"/>
      </w:pPr>
      <w:r>
        <w:rPr>
          <w:b/>
          <w:color w:val="555555"/>
          <w:sz w:val="15"/>
        </w:rPr>
        <w:t xml:space="preserve">Source: </w:t>
      </w:r>
      <w:r>
        <w:rPr>
          <w:color w:val="555555"/>
          <w:sz w:val="15"/>
        </w:rPr>
        <w:t xml:space="preserve">FEMA, </w:t>
      </w:r>
      <w:hyperlink r:id="rId22">
        <w:r>
          <w:rPr>
            <w:color w:val="1F4E99"/>
            <w:sz w:val="15"/>
            <w:u w:val="single"/>
          </w:rPr>
          <w:t>OpenFEMA NfipMultipleLossProperties v1</w:t>
        </w:r>
      </w:hyperlink>
      <w:r>
        <w:rPr>
          <w:color w:val="555555"/>
          <w:sz w:val="15"/>
        </w:rPr>
        <w:t xml:space="preserve">, version 2026-08-04T164045Z, pulled 2026-09-28, </w:t>
      </w:r>
      <w:hyperlink r:id="rId23">
        <w:r>
          <w:rPr>
            <w:color w:val="1F4E99"/>
            <w:sz w:val="15"/>
            <w:u w:val="single"/>
          </w:rPr>
          <w:t>https://www.fema.gov/api/open/v1/NfipMultipleLossProperties</w:t>
        </w:r>
      </w:hyperlink>
      <w:r>
        <w:rPr>
          <w:color w:val="555555"/>
          <w:sz w:val="15"/>
        </w:rPr>
        <w:t xml:space="preserve"> (API)</w:t>
      </w:r>
    </w:p>
    <w:p>
      <w:pPr>
        <w:spacing w:after="20" w:before="0"/>
      </w:pPr>
      <w:r>
        <w:rPr>
          <w:b/>
          <w:color w:val="555555"/>
          <w:sz w:val="15"/>
        </w:rPr>
        <w:t xml:space="preserve">Source: </w:t>
      </w:r>
      <w:r>
        <w:rPr>
          <w:color w:val="555555"/>
          <w:sz w:val="15"/>
        </w:rPr>
        <w:t xml:space="preserve">FEMA, </w:t>
      </w:r>
      <w:hyperlink r:id="rId11">
        <w:r>
          <w:rPr>
            <w:color w:val="1F4E99"/>
            <w:sz w:val="15"/>
            <w:u w:val="single"/>
          </w:rPr>
          <w:t>OpenFEMA HazardMitigationPlanStatuses v1</w:t>
        </w:r>
      </w:hyperlink>
      <w:r>
        <w:rPr>
          <w:color w:val="555555"/>
          <w:sz w:val="15"/>
        </w:rPr>
        <w:t xml:space="preserve">, version 2026-09-26T121003Z, pulled 2026-09-28, </w:t>
      </w:r>
      <w:hyperlink r:id="rId12">
        <w:r>
          <w:rPr>
            <w:color w:val="1F4E99"/>
            <w:sz w:val="15"/>
            <w:u w:val="single"/>
          </w:rPr>
          <w:t>https://www.fema.gov/api/open/v1/HazardMitigationPlanStatuses</w:t>
        </w:r>
      </w:hyperlink>
      <w:r>
        <w:rPr>
          <w:color w:val="555555"/>
          <w:sz w:val="15"/>
        </w:rPr>
        <w:t xml:space="preserve"> (API)</w:t>
      </w:r>
    </w:p>
    <w:p>
      <w:pPr>
        <w:spacing w:after="80" w:before="0"/>
      </w:pPr>
    </w:p>
    <w:p>
      <w:pPr>
        <w:pStyle w:val="Heading3"/>
        <w:keepNext/>
        <w:spacing w:after="80"/>
      </w:pPr>
      <w:r>
        <w:rPr/>
        <w:t>Repeat-flood properties by plan member (NFIP community)</w:t>
      </w:r>
    </w:p>
    <w:tbl>
      <w:tblPr>
        <w:tblW w:type="auto" w:w="0"/>
        <w:jc w:val="left"/>
        <w:tblBorders>
          <w:top w:val="single" w:sz="4" w:space="0" w:color="808080"/>
          <w:left w:val="single" w:sz="4" w:space="0" w:color="808080"/>
          <w:bottom w:val="single" w:sz="4" w:space="0" w:color="808080"/>
          <w:right w:val="single" w:sz="4" w:space="0" w:color="808080"/>
          <w:insideH w:val="single" w:sz="4" w:space="0" w:color="808080"/>
          <w:insideV w:val="single" w:sz="4" w:space="0" w:color="808080"/>
        </w:tblBorders>
        <w:tblLayout w:type="fixed"/>
        <w:tblCellMar>
          <w:top w:w="15" w:type="dxa"/>
          <w:left w:w="60" w:type="dxa"/>
          <w:bottom w:w="15" w:type="dxa"/>
          <w:right w:w="60" w:type="dxa"/>
        </w:tblCellMar>
        <w:tblLook w:firstColumn="1" w:firstRow="1" w:lastColumn="0" w:lastRow="0" w:noHBand="0" w:noVBand="1" w:val="04A0"/>
        <w:tblCaption w:val="Repeat-flood properties by plan member (NFIP community)"/>
        <w:tblDescription w:val="Hazard Plain table b2c_members"/>
      </w:tblPr>
      <w:tblGrid>
        <w:gridCol w:w="2000"/>
        <w:gridCol w:w="1513"/>
        <w:gridCol w:w="1359"/>
        <w:gridCol w:w="1359"/>
        <w:gridCol w:w="1359"/>
        <w:gridCol w:w="1359"/>
        <w:gridCol w:w="1359"/>
        <w:gridCol w:w="1359"/>
        <w:gridCol w:w="1513"/>
        <w:gridCol w:w="930"/>
      </w:tblGrid>
      <w:tr>
        <w:trPr>
          <w:cantSplit/>
          <w:tblHeader/>
        </w:trPr>
        <w:tc>
          <w:tcPr>
            <w:tcW w:type="dxa" w:w="2000"/>
            <w:shd w:val="clear" w:color="auto" w:fill="E8E8E8"/>
          </w:tcPr>
          <w:p>
            <w:pPr>
              <w:spacing w:after="0"/>
              <w:jc w:val="left"/>
            </w:pPr>
            <w:r>
              <w:rPr>
                <w:b/>
                <w:sz w:val="16"/>
              </w:rPr>
              <w:t>Member</w:t>
            </w:r>
          </w:p>
        </w:tc>
        <w:tc>
          <w:tcPr>
            <w:tcW w:type="dxa" w:w="1513"/>
            <w:shd w:val="clear" w:color="auto" w:fill="E8E8E8"/>
          </w:tcPr>
          <w:p>
            <w:pPr>
              <w:spacing w:after="0"/>
              <w:jc w:val="left"/>
            </w:pPr>
            <w:r>
              <w:rPr>
                <w:b/>
                <w:sz w:val="16"/>
              </w:rPr>
              <w:t>NFIP community ID</w:t>
            </w:r>
          </w:p>
        </w:tc>
        <w:tc>
          <w:tcPr>
            <w:tcW w:type="dxa" w:w="1359"/>
            <w:shd w:val="clear" w:color="auto" w:fill="E8E8E8"/>
          </w:tcPr>
          <w:p>
            <w:pPr>
              <w:spacing w:after="0"/>
              <w:jc w:val="right"/>
            </w:pPr>
            <w:r>
              <w:rPr>
                <w:b/>
                <w:sz w:val="16"/>
              </w:rPr>
              <w:t>RL, FMA</w:t>
            </w:r>
          </w:p>
          <w:p>
            <w:pPr>
              <w:spacing w:after="0"/>
              <w:jc w:val="right"/>
            </w:pPr>
            <w:r>
              <w:rPr>
                <w:i/>
                <w:color w:val="555555"/>
                <w:sz w:val="14"/>
              </w:rPr>
              <w:t>properties</w:t>
            </w:r>
          </w:p>
        </w:tc>
        <w:tc>
          <w:tcPr>
            <w:tcW w:type="dxa" w:w="1359"/>
            <w:shd w:val="clear" w:color="auto" w:fill="E8E8E8"/>
          </w:tcPr>
          <w:p>
            <w:pPr>
              <w:spacing w:after="0"/>
              <w:jc w:val="right"/>
            </w:pPr>
            <w:r>
              <w:rPr>
                <w:b/>
                <w:sz w:val="16"/>
              </w:rPr>
              <w:t>SRL, FMA</w:t>
            </w:r>
          </w:p>
          <w:p>
            <w:pPr>
              <w:spacing w:after="0"/>
              <w:jc w:val="right"/>
            </w:pPr>
            <w:r>
              <w:rPr>
                <w:i/>
                <w:color w:val="555555"/>
                <w:sz w:val="14"/>
              </w:rPr>
              <w:t>properties</w:t>
            </w:r>
          </w:p>
        </w:tc>
        <w:tc>
          <w:tcPr>
            <w:tcW w:type="dxa" w:w="1359"/>
            <w:shd w:val="clear" w:color="auto" w:fill="E8E8E8"/>
          </w:tcPr>
          <w:p>
            <w:pPr>
              <w:spacing w:after="0"/>
              <w:jc w:val="right"/>
            </w:pPr>
            <w:r>
              <w:rPr>
                <w:b/>
                <w:sz w:val="16"/>
              </w:rPr>
              <w:t>RL, NFIP</w:t>
            </w:r>
          </w:p>
          <w:p>
            <w:pPr>
              <w:spacing w:after="0"/>
              <w:jc w:val="right"/>
            </w:pPr>
            <w:r>
              <w:rPr>
                <w:i/>
                <w:color w:val="555555"/>
                <w:sz w:val="14"/>
              </w:rPr>
              <w:t>properties</w:t>
            </w:r>
          </w:p>
        </w:tc>
        <w:tc>
          <w:tcPr>
            <w:tcW w:type="dxa" w:w="1359"/>
            <w:shd w:val="clear" w:color="auto" w:fill="E8E8E8"/>
          </w:tcPr>
          <w:p>
            <w:pPr>
              <w:spacing w:after="0"/>
              <w:jc w:val="right"/>
            </w:pPr>
            <w:r>
              <w:rPr>
                <w:b/>
                <w:sz w:val="16"/>
              </w:rPr>
              <w:t>SRL, NFIP</w:t>
            </w:r>
          </w:p>
          <w:p>
            <w:pPr>
              <w:spacing w:after="0"/>
              <w:jc w:val="right"/>
            </w:pPr>
            <w:r>
              <w:rPr>
                <w:i/>
                <w:color w:val="555555"/>
                <w:sz w:val="14"/>
              </w:rPr>
              <w:t>properties</w:t>
            </w:r>
          </w:p>
        </w:tc>
        <w:tc>
          <w:tcPr>
            <w:tcW w:type="dxa" w:w="1359"/>
            <w:shd w:val="clear" w:color="auto" w:fill="E8E8E8"/>
          </w:tcPr>
          <w:p>
            <w:pPr>
              <w:spacing w:after="0"/>
              <w:jc w:val="right"/>
            </w:pPr>
            <w:r>
              <w:rPr>
                <w:b/>
                <w:sz w:val="16"/>
              </w:rPr>
              <w:t>Any category</w:t>
            </w:r>
          </w:p>
          <w:p>
            <w:pPr>
              <w:spacing w:after="0"/>
              <w:jc w:val="right"/>
            </w:pPr>
            <w:r>
              <w:rPr>
                <w:i/>
                <w:color w:val="555555"/>
                <w:sz w:val="14"/>
              </w:rPr>
              <w:t>properties</w:t>
            </w:r>
          </w:p>
        </w:tc>
        <w:tc>
          <w:tcPr>
            <w:tcW w:type="dxa" w:w="1359"/>
            <w:shd w:val="clear" w:color="auto" w:fill="E8E8E8"/>
          </w:tcPr>
          <w:p>
            <w:pPr>
              <w:spacing w:after="0"/>
              <w:jc w:val="right"/>
            </w:pPr>
            <w:r>
              <w:rPr>
                <w:b/>
                <w:sz w:val="16"/>
              </w:rPr>
              <w:t>Mitigated</w:t>
            </w:r>
          </w:p>
          <w:p>
            <w:pPr>
              <w:spacing w:after="0"/>
              <w:jc w:val="right"/>
            </w:pPr>
            <w:r>
              <w:rPr>
                <w:i/>
                <w:color w:val="555555"/>
                <w:sz w:val="14"/>
              </w:rPr>
              <w:t>properties</w:t>
            </w:r>
          </w:p>
        </w:tc>
        <w:tc>
          <w:tcPr>
            <w:tcW w:type="dxa" w:w="1513"/>
            <w:shd w:val="clear" w:color="auto" w:fill="E8E8E8"/>
          </w:tcPr>
          <w:p>
            <w:pPr>
              <w:spacing w:after="0"/>
              <w:jc w:val="right"/>
            </w:pPr>
            <w:r>
              <w:rPr>
                <w:b/>
                <w:sz w:val="16"/>
              </w:rPr>
              <w:t>Currently insured</w:t>
            </w:r>
          </w:p>
          <w:p>
            <w:pPr>
              <w:spacing w:after="0"/>
              <w:jc w:val="right"/>
            </w:pPr>
            <w:r>
              <w:rPr>
                <w:i/>
                <w:color w:val="555555"/>
                <w:sz w:val="14"/>
              </w:rPr>
              <w:t>properties</w:t>
            </w:r>
          </w:p>
        </w:tc>
        <w:tc>
          <w:tcPr>
            <w:tcW w:type="dxa" w:w="930"/>
            <w:shd w:val="clear" w:color="auto" w:fill="E8E8E8"/>
          </w:tcPr>
          <w:p>
            <w:pPr>
              <w:spacing w:after="0"/>
              <w:jc w:val="left"/>
            </w:pPr>
            <w:r>
              <w:rPr>
                <w:b/>
                <w:sz w:val="16"/>
              </w:rPr>
              <w:t>Note</w:t>
            </w:r>
          </w:p>
        </w:tc>
      </w:tr>
      <w:tr>
        <w:trPr>
          <w:cantSplit/>
        </w:trPr>
        <w:tc>
          <w:tcPr>
            <w:tcW w:type="dxa" w:w="2000"/>
          </w:tcPr>
          <w:p>
            <w:pPr>
              <w:spacing w:after="0"/>
              <w:jc w:val="left"/>
            </w:pPr>
            <w:r>
              <w:rPr>
                <w:sz w:val="16"/>
              </w:rPr>
              <w:t>Warrick County</w:t>
            </w:r>
          </w:p>
        </w:tc>
        <w:tc>
          <w:tcPr>
            <w:tcW w:type="dxa" w:w="1513"/>
          </w:tcPr>
          <w:p>
            <w:pPr>
              <w:spacing w:after="0"/>
              <w:jc w:val="left"/>
            </w:pPr>
            <w:r>
              <w:rPr>
                <w:sz w:val="16"/>
              </w:rPr>
              <w:t>180418</w:t>
            </w:r>
          </w:p>
        </w:tc>
        <w:tc>
          <w:tcPr>
            <w:tcW w:type="dxa" w:w="1359"/>
          </w:tcPr>
          <w:p>
            <w:pPr>
              <w:spacing w:after="0"/>
              <w:jc w:val="right"/>
            </w:pPr>
            <w:r>
              <w:rPr>
                <w:sz w:val="16"/>
              </w:rPr>
              <w:t>0</w:t>
            </w:r>
          </w:p>
        </w:tc>
        <w:tc>
          <w:tcPr>
            <w:tcW w:type="dxa" w:w="1359"/>
          </w:tcPr>
          <w:p>
            <w:pPr>
              <w:spacing w:after="0"/>
              <w:jc w:val="right"/>
            </w:pPr>
            <w:r>
              <w:rPr>
                <w:sz w:val="16"/>
              </w:rPr>
              <w:t>1</w:t>
            </w:r>
          </w:p>
        </w:tc>
        <w:tc>
          <w:tcPr>
            <w:tcW w:type="dxa" w:w="1359"/>
          </w:tcPr>
          <w:p>
            <w:pPr>
              <w:spacing w:after="0"/>
              <w:jc w:val="right"/>
            </w:pPr>
            <w:r>
              <w:rPr>
                <w:sz w:val="16"/>
              </w:rPr>
              <w:t>3</w:t>
            </w:r>
          </w:p>
        </w:tc>
        <w:tc>
          <w:tcPr>
            <w:tcW w:type="dxa" w:w="1359"/>
          </w:tcPr>
          <w:p>
            <w:pPr>
              <w:spacing w:after="0"/>
              <w:jc w:val="right"/>
            </w:pPr>
            <w:r>
              <w:rPr>
                <w:sz w:val="16"/>
              </w:rPr>
              <w:t>1</w:t>
            </w:r>
          </w:p>
        </w:tc>
        <w:tc>
          <w:tcPr>
            <w:tcW w:type="dxa" w:w="1359"/>
          </w:tcPr>
          <w:p>
            <w:pPr>
              <w:spacing w:after="0"/>
              <w:jc w:val="right"/>
            </w:pPr>
            <w:r>
              <w:rPr>
                <w:sz w:val="16"/>
              </w:rPr>
              <w:t>3</w:t>
            </w:r>
          </w:p>
        </w:tc>
        <w:tc>
          <w:tcPr>
            <w:tcW w:type="dxa" w:w="1359"/>
          </w:tcPr>
          <w:p>
            <w:pPr>
              <w:spacing w:after="0"/>
              <w:jc w:val="right"/>
            </w:pPr>
            <w:r>
              <w:rPr>
                <w:sz w:val="16"/>
              </w:rPr>
              <w:t>0</w:t>
            </w:r>
          </w:p>
        </w:tc>
        <w:tc>
          <w:tcPr>
            <w:tcW w:type="dxa" w:w="1513"/>
          </w:tcPr>
          <w:p>
            <w:pPr>
              <w:spacing w:after="0"/>
              <w:jc w:val="right"/>
            </w:pPr>
            <w:r>
              <w:rPr>
                <w:sz w:val="16"/>
              </w:rPr>
              <w:t>2</w:t>
            </w:r>
          </w:p>
        </w:tc>
        <w:tc>
          <w:tcPr>
            <w:tcW w:type="dxa" w:w="930"/>
          </w:tcPr>
          <w:p>
            <w:pPr>
              <w:spacing w:after="0"/>
              <w:jc w:val="left"/>
            </w:pPr>
          </w:p>
        </w:tc>
      </w:tr>
      <w:tr>
        <w:trPr>
          <w:cantSplit/>
        </w:trPr>
        <w:tc>
          <w:tcPr>
            <w:tcW w:type="dxa" w:w="2000"/>
          </w:tcPr>
          <w:p>
            <w:pPr>
              <w:spacing w:after="0"/>
              <w:jc w:val="left"/>
            </w:pPr>
            <w:r>
              <w:rPr>
                <w:sz w:val="16"/>
              </w:rPr>
              <w:t>Boonville city</w:t>
            </w:r>
          </w:p>
        </w:tc>
        <w:tc>
          <w:tcPr>
            <w:tcW w:type="dxa" w:w="1513"/>
          </w:tcPr>
          <w:p>
            <w:pPr>
              <w:spacing w:after="0"/>
              <w:jc w:val="left"/>
            </w:pPr>
            <w:r>
              <w:rPr>
                <w:sz w:val="16"/>
              </w:rPr>
              <w:t>180273</w:t>
            </w:r>
          </w:p>
        </w:tc>
        <w:tc>
          <w:tcPr>
            <w:tcW w:type="dxa" w:w="1359"/>
          </w:tcPr>
          <w:p>
            <w:pPr>
              <w:spacing w:after="0"/>
              <w:jc w:val="right"/>
            </w:pPr>
            <w:r>
              <w:rPr>
                <w:sz w:val="16"/>
              </w:rPr>
              <w:t>0</w:t>
            </w:r>
          </w:p>
        </w:tc>
        <w:tc>
          <w:tcPr>
            <w:tcW w:type="dxa" w:w="1359"/>
          </w:tcPr>
          <w:p>
            <w:pPr>
              <w:spacing w:after="0"/>
              <w:jc w:val="right"/>
            </w:pPr>
            <w:r>
              <w:rPr>
                <w:sz w:val="16"/>
              </w:rPr>
              <w:t>0</w:t>
            </w:r>
          </w:p>
        </w:tc>
        <w:tc>
          <w:tcPr>
            <w:tcW w:type="dxa" w:w="1359"/>
          </w:tcPr>
          <w:p>
            <w:pPr>
              <w:spacing w:after="0"/>
              <w:jc w:val="right"/>
            </w:pPr>
            <w:r>
              <w:rPr>
                <w:sz w:val="16"/>
              </w:rPr>
              <w:t>0</w:t>
            </w:r>
          </w:p>
        </w:tc>
        <w:tc>
          <w:tcPr>
            <w:tcW w:type="dxa" w:w="1359"/>
          </w:tcPr>
          <w:p>
            <w:pPr>
              <w:spacing w:after="0"/>
              <w:jc w:val="right"/>
            </w:pPr>
            <w:r>
              <w:rPr>
                <w:sz w:val="16"/>
              </w:rPr>
              <w:t>0</w:t>
            </w:r>
          </w:p>
        </w:tc>
        <w:tc>
          <w:tcPr>
            <w:tcW w:type="dxa" w:w="1359"/>
          </w:tcPr>
          <w:p>
            <w:pPr>
              <w:spacing w:after="0"/>
              <w:jc w:val="right"/>
            </w:pPr>
            <w:r>
              <w:rPr>
                <w:sz w:val="16"/>
              </w:rPr>
              <w:t>0</w:t>
            </w:r>
          </w:p>
        </w:tc>
        <w:tc>
          <w:tcPr>
            <w:tcW w:type="dxa" w:w="1359"/>
          </w:tcPr>
          <w:p>
            <w:pPr>
              <w:spacing w:after="0"/>
              <w:jc w:val="right"/>
            </w:pPr>
            <w:r>
              <w:rPr>
                <w:sz w:val="16"/>
              </w:rPr>
              <w:t>0</w:t>
            </w:r>
          </w:p>
        </w:tc>
        <w:tc>
          <w:tcPr>
            <w:tcW w:type="dxa" w:w="1513"/>
          </w:tcPr>
          <w:p>
            <w:pPr>
              <w:spacing w:after="0"/>
              <w:jc w:val="right"/>
            </w:pPr>
            <w:r>
              <w:rPr>
                <w:sz w:val="16"/>
              </w:rPr>
              <w:t>0</w:t>
            </w:r>
          </w:p>
        </w:tc>
        <w:tc>
          <w:tcPr>
            <w:tcW w:type="dxa" w:w="930"/>
          </w:tcPr>
          <w:p>
            <w:pPr>
              <w:spacing w:after="0"/>
              <w:jc w:val="left"/>
            </w:pPr>
          </w:p>
        </w:tc>
      </w:tr>
      <w:tr>
        <w:trPr>
          <w:cantSplit/>
        </w:trPr>
        <w:tc>
          <w:tcPr>
            <w:tcW w:type="dxa" w:w="2000"/>
          </w:tcPr>
          <w:p>
            <w:pPr>
              <w:spacing w:after="0"/>
              <w:jc w:val="left"/>
            </w:pPr>
            <w:r>
              <w:rPr>
                <w:sz w:val="16"/>
              </w:rPr>
              <w:t>Chandler town</w:t>
            </w:r>
          </w:p>
        </w:tc>
        <w:tc>
          <w:tcPr>
            <w:tcW w:type="dxa" w:w="1513"/>
          </w:tcPr>
          <w:p>
            <w:pPr>
              <w:spacing w:after="0"/>
              <w:jc w:val="left"/>
            </w:pPr>
            <w:r>
              <w:rPr>
                <w:sz w:val="16"/>
              </w:rPr>
              <w:t>180274</w:t>
            </w:r>
          </w:p>
        </w:tc>
        <w:tc>
          <w:tcPr>
            <w:tcW w:type="dxa" w:w="1359"/>
          </w:tcPr>
          <w:p>
            <w:pPr>
              <w:spacing w:after="0"/>
              <w:jc w:val="right"/>
            </w:pPr>
            <w:r>
              <w:rPr>
                <w:sz w:val="16"/>
              </w:rPr>
              <w:t>0</w:t>
            </w:r>
          </w:p>
        </w:tc>
        <w:tc>
          <w:tcPr>
            <w:tcW w:type="dxa" w:w="1359"/>
          </w:tcPr>
          <w:p>
            <w:pPr>
              <w:spacing w:after="0"/>
              <w:jc w:val="right"/>
            </w:pPr>
            <w:r>
              <w:rPr>
                <w:sz w:val="16"/>
              </w:rPr>
              <w:t>0</w:t>
            </w:r>
          </w:p>
        </w:tc>
        <w:tc>
          <w:tcPr>
            <w:tcW w:type="dxa" w:w="1359"/>
          </w:tcPr>
          <w:p>
            <w:pPr>
              <w:spacing w:after="0"/>
              <w:jc w:val="right"/>
            </w:pPr>
            <w:r>
              <w:rPr>
                <w:sz w:val="16"/>
              </w:rPr>
              <w:t>1</w:t>
            </w:r>
          </w:p>
        </w:tc>
        <w:tc>
          <w:tcPr>
            <w:tcW w:type="dxa" w:w="1359"/>
          </w:tcPr>
          <w:p>
            <w:pPr>
              <w:spacing w:after="0"/>
              <w:jc w:val="right"/>
            </w:pPr>
            <w:r>
              <w:rPr>
                <w:sz w:val="16"/>
              </w:rPr>
              <w:t>0</w:t>
            </w:r>
          </w:p>
        </w:tc>
        <w:tc>
          <w:tcPr>
            <w:tcW w:type="dxa" w:w="1359"/>
          </w:tcPr>
          <w:p>
            <w:pPr>
              <w:spacing w:after="0"/>
              <w:jc w:val="right"/>
            </w:pPr>
            <w:r>
              <w:rPr>
                <w:sz w:val="16"/>
              </w:rPr>
              <w:t>1</w:t>
            </w:r>
          </w:p>
        </w:tc>
        <w:tc>
          <w:tcPr>
            <w:tcW w:type="dxa" w:w="1359"/>
          </w:tcPr>
          <w:p>
            <w:pPr>
              <w:spacing w:after="0"/>
              <w:jc w:val="right"/>
            </w:pPr>
            <w:r>
              <w:rPr>
                <w:sz w:val="16"/>
              </w:rPr>
              <w:t>0</w:t>
            </w:r>
          </w:p>
        </w:tc>
        <w:tc>
          <w:tcPr>
            <w:tcW w:type="dxa" w:w="1513"/>
          </w:tcPr>
          <w:p>
            <w:pPr>
              <w:spacing w:after="0"/>
              <w:jc w:val="right"/>
            </w:pPr>
            <w:r>
              <w:rPr>
                <w:sz w:val="16"/>
              </w:rPr>
              <w:t>1</w:t>
            </w:r>
          </w:p>
        </w:tc>
        <w:tc>
          <w:tcPr>
            <w:tcW w:type="dxa" w:w="930"/>
          </w:tcPr>
          <w:p>
            <w:pPr>
              <w:spacing w:after="0"/>
              <w:jc w:val="left"/>
            </w:pPr>
          </w:p>
        </w:tc>
      </w:tr>
      <w:tr>
        <w:trPr>
          <w:cantSplit/>
        </w:trPr>
        <w:tc>
          <w:tcPr>
            <w:tcW w:type="dxa" w:w="2000"/>
          </w:tcPr>
          <w:p>
            <w:pPr>
              <w:spacing w:after="0"/>
              <w:jc w:val="left"/>
            </w:pPr>
            <w:r>
              <w:rPr>
                <w:sz w:val="16"/>
              </w:rPr>
              <w:t>Elberfeld town</w:t>
            </w:r>
          </w:p>
        </w:tc>
        <w:tc>
          <w:tcPr>
            <w:tcW w:type="dxa" w:w="1513"/>
          </w:tcPr>
          <w:p>
            <w:pPr>
              <w:spacing w:after="0"/>
              <w:jc w:val="left"/>
            </w:pPr>
            <w:r>
              <w:rPr>
                <w:sz w:val="16"/>
              </w:rPr>
              <w:t>180275</w:t>
            </w:r>
          </w:p>
        </w:tc>
        <w:tc>
          <w:tcPr>
            <w:tcW w:type="dxa" w:w="1359"/>
          </w:tcPr>
          <w:p>
            <w:pPr>
              <w:spacing w:after="0"/>
              <w:jc w:val="right"/>
            </w:pPr>
            <w:r>
              <w:rPr>
                <w:sz w:val="16"/>
              </w:rPr>
              <w:t>0</w:t>
            </w:r>
          </w:p>
        </w:tc>
        <w:tc>
          <w:tcPr>
            <w:tcW w:type="dxa" w:w="1359"/>
          </w:tcPr>
          <w:p>
            <w:pPr>
              <w:spacing w:after="0"/>
              <w:jc w:val="right"/>
            </w:pPr>
            <w:r>
              <w:rPr>
                <w:sz w:val="16"/>
              </w:rPr>
              <w:t>0</w:t>
            </w:r>
          </w:p>
        </w:tc>
        <w:tc>
          <w:tcPr>
            <w:tcW w:type="dxa" w:w="1359"/>
          </w:tcPr>
          <w:p>
            <w:pPr>
              <w:spacing w:after="0"/>
              <w:jc w:val="right"/>
            </w:pPr>
            <w:r>
              <w:rPr>
                <w:sz w:val="16"/>
              </w:rPr>
              <w:t>0</w:t>
            </w:r>
          </w:p>
        </w:tc>
        <w:tc>
          <w:tcPr>
            <w:tcW w:type="dxa" w:w="1359"/>
          </w:tcPr>
          <w:p>
            <w:pPr>
              <w:spacing w:after="0"/>
              <w:jc w:val="right"/>
            </w:pPr>
            <w:r>
              <w:rPr>
                <w:sz w:val="16"/>
              </w:rPr>
              <w:t>0</w:t>
            </w:r>
          </w:p>
        </w:tc>
        <w:tc>
          <w:tcPr>
            <w:tcW w:type="dxa" w:w="1359"/>
          </w:tcPr>
          <w:p>
            <w:pPr>
              <w:spacing w:after="0"/>
              <w:jc w:val="right"/>
            </w:pPr>
            <w:r>
              <w:rPr>
                <w:sz w:val="16"/>
              </w:rPr>
              <w:t>0</w:t>
            </w:r>
          </w:p>
        </w:tc>
        <w:tc>
          <w:tcPr>
            <w:tcW w:type="dxa" w:w="1359"/>
          </w:tcPr>
          <w:p>
            <w:pPr>
              <w:spacing w:after="0"/>
              <w:jc w:val="right"/>
            </w:pPr>
            <w:r>
              <w:rPr>
                <w:sz w:val="16"/>
              </w:rPr>
              <w:t>0</w:t>
            </w:r>
          </w:p>
        </w:tc>
        <w:tc>
          <w:tcPr>
            <w:tcW w:type="dxa" w:w="1513"/>
          </w:tcPr>
          <w:p>
            <w:pPr>
              <w:spacing w:after="0"/>
              <w:jc w:val="right"/>
            </w:pPr>
            <w:r>
              <w:rPr>
                <w:sz w:val="16"/>
              </w:rPr>
              <w:t>0</w:t>
            </w:r>
          </w:p>
        </w:tc>
        <w:tc>
          <w:tcPr>
            <w:tcW w:type="dxa" w:w="930"/>
          </w:tcPr>
          <w:p>
            <w:pPr>
              <w:spacing w:after="0"/>
              <w:jc w:val="left"/>
            </w:pPr>
          </w:p>
        </w:tc>
      </w:tr>
      <w:tr>
        <w:trPr>
          <w:cantSplit/>
        </w:trPr>
        <w:tc>
          <w:tcPr>
            <w:tcW w:type="dxa" w:w="2000"/>
          </w:tcPr>
          <w:p>
            <w:pPr>
              <w:spacing w:after="0"/>
              <w:jc w:val="left"/>
            </w:pPr>
            <w:r>
              <w:rPr>
                <w:sz w:val="16"/>
              </w:rPr>
              <w:t>Lynnville town</w:t>
            </w:r>
          </w:p>
        </w:tc>
        <w:tc>
          <w:tcPr>
            <w:tcW w:type="dxa" w:w="1513"/>
          </w:tcPr>
          <w:p>
            <w:pPr>
              <w:spacing w:after="0"/>
              <w:jc w:val="left"/>
            </w:pPr>
            <w:r>
              <w:rPr>
                <w:sz w:val="16"/>
              </w:rPr>
              <w:t>180339</w:t>
            </w:r>
          </w:p>
        </w:tc>
        <w:tc>
          <w:tcPr>
            <w:tcW w:type="dxa" w:w="1359"/>
          </w:tcPr>
          <w:p>
            <w:pPr>
              <w:spacing w:after="0"/>
              <w:jc w:val="right"/>
            </w:pPr>
            <w:r>
              <w:rPr>
                <w:sz w:val="16"/>
              </w:rPr>
              <w:t>0</w:t>
            </w:r>
          </w:p>
        </w:tc>
        <w:tc>
          <w:tcPr>
            <w:tcW w:type="dxa" w:w="1359"/>
          </w:tcPr>
          <w:p>
            <w:pPr>
              <w:spacing w:after="0"/>
              <w:jc w:val="right"/>
            </w:pPr>
            <w:r>
              <w:rPr>
                <w:sz w:val="16"/>
              </w:rPr>
              <w:t>0</w:t>
            </w:r>
          </w:p>
        </w:tc>
        <w:tc>
          <w:tcPr>
            <w:tcW w:type="dxa" w:w="1359"/>
          </w:tcPr>
          <w:p>
            <w:pPr>
              <w:spacing w:after="0"/>
              <w:jc w:val="right"/>
            </w:pPr>
            <w:r>
              <w:rPr>
                <w:sz w:val="16"/>
              </w:rPr>
              <w:t>0</w:t>
            </w:r>
          </w:p>
        </w:tc>
        <w:tc>
          <w:tcPr>
            <w:tcW w:type="dxa" w:w="1359"/>
          </w:tcPr>
          <w:p>
            <w:pPr>
              <w:spacing w:after="0"/>
              <w:jc w:val="right"/>
            </w:pPr>
            <w:r>
              <w:rPr>
                <w:sz w:val="16"/>
              </w:rPr>
              <w:t>0</w:t>
            </w:r>
          </w:p>
        </w:tc>
        <w:tc>
          <w:tcPr>
            <w:tcW w:type="dxa" w:w="1359"/>
          </w:tcPr>
          <w:p>
            <w:pPr>
              <w:spacing w:after="0"/>
              <w:jc w:val="right"/>
            </w:pPr>
            <w:r>
              <w:rPr>
                <w:sz w:val="16"/>
              </w:rPr>
              <w:t>0</w:t>
            </w:r>
          </w:p>
        </w:tc>
        <w:tc>
          <w:tcPr>
            <w:tcW w:type="dxa" w:w="1359"/>
          </w:tcPr>
          <w:p>
            <w:pPr>
              <w:spacing w:after="0"/>
              <w:jc w:val="right"/>
            </w:pPr>
            <w:r>
              <w:rPr>
                <w:sz w:val="16"/>
              </w:rPr>
              <w:t>0</w:t>
            </w:r>
          </w:p>
        </w:tc>
        <w:tc>
          <w:tcPr>
            <w:tcW w:type="dxa" w:w="1513"/>
          </w:tcPr>
          <w:p>
            <w:pPr>
              <w:spacing w:after="0"/>
              <w:jc w:val="right"/>
            </w:pPr>
            <w:r>
              <w:rPr>
                <w:sz w:val="16"/>
              </w:rPr>
              <w:t>0</w:t>
            </w:r>
          </w:p>
        </w:tc>
        <w:tc>
          <w:tcPr>
            <w:tcW w:type="dxa" w:w="930"/>
          </w:tcPr>
          <w:p>
            <w:pPr>
              <w:spacing w:after="0"/>
              <w:jc w:val="left"/>
            </w:pPr>
          </w:p>
        </w:tc>
      </w:tr>
      <w:tr>
        <w:trPr>
          <w:cantSplit/>
        </w:trPr>
        <w:tc>
          <w:tcPr>
            <w:tcW w:type="dxa" w:w="2000"/>
          </w:tcPr>
          <w:p>
            <w:pPr>
              <w:spacing w:after="0"/>
              <w:jc w:val="left"/>
            </w:pPr>
            <w:r>
              <w:rPr>
                <w:sz w:val="16"/>
              </w:rPr>
              <w:t>Newburgh town</w:t>
            </w:r>
          </w:p>
        </w:tc>
        <w:tc>
          <w:tcPr>
            <w:tcW w:type="dxa" w:w="1513"/>
          </w:tcPr>
          <w:p>
            <w:pPr>
              <w:spacing w:after="0"/>
              <w:jc w:val="left"/>
            </w:pPr>
            <w:r>
              <w:rPr>
                <w:sz w:val="16"/>
              </w:rPr>
              <w:t>180276</w:t>
            </w:r>
          </w:p>
        </w:tc>
        <w:tc>
          <w:tcPr>
            <w:tcW w:type="dxa" w:w="1359"/>
          </w:tcPr>
          <w:p>
            <w:pPr>
              <w:spacing w:after="0"/>
              <w:jc w:val="right"/>
            </w:pPr>
            <w:r>
              <w:rPr>
                <w:sz w:val="16"/>
              </w:rPr>
              <w:t>1</w:t>
            </w:r>
          </w:p>
        </w:tc>
        <w:tc>
          <w:tcPr>
            <w:tcW w:type="dxa" w:w="1359"/>
          </w:tcPr>
          <w:p>
            <w:pPr>
              <w:spacing w:after="0"/>
              <w:jc w:val="right"/>
            </w:pPr>
            <w:r>
              <w:rPr>
                <w:sz w:val="16"/>
              </w:rPr>
              <w:t>1</w:t>
            </w:r>
          </w:p>
        </w:tc>
        <w:tc>
          <w:tcPr>
            <w:tcW w:type="dxa" w:w="1359"/>
          </w:tcPr>
          <w:p>
            <w:pPr>
              <w:spacing w:after="0"/>
              <w:jc w:val="right"/>
            </w:pPr>
            <w:r>
              <w:rPr>
                <w:sz w:val="16"/>
              </w:rPr>
              <w:t>3</w:t>
            </w:r>
          </w:p>
        </w:tc>
        <w:tc>
          <w:tcPr>
            <w:tcW w:type="dxa" w:w="1359"/>
          </w:tcPr>
          <w:p>
            <w:pPr>
              <w:spacing w:after="0"/>
              <w:jc w:val="right"/>
            </w:pPr>
            <w:r>
              <w:rPr>
                <w:sz w:val="16"/>
              </w:rPr>
              <w:t>0</w:t>
            </w:r>
          </w:p>
        </w:tc>
        <w:tc>
          <w:tcPr>
            <w:tcW w:type="dxa" w:w="1359"/>
          </w:tcPr>
          <w:p>
            <w:pPr>
              <w:spacing w:after="0"/>
              <w:jc w:val="right"/>
            </w:pPr>
            <w:r>
              <w:rPr>
                <w:sz w:val="16"/>
              </w:rPr>
              <w:t>3</w:t>
            </w:r>
          </w:p>
        </w:tc>
        <w:tc>
          <w:tcPr>
            <w:tcW w:type="dxa" w:w="1359"/>
          </w:tcPr>
          <w:p>
            <w:pPr>
              <w:spacing w:after="0"/>
              <w:jc w:val="right"/>
            </w:pPr>
            <w:r>
              <w:rPr>
                <w:sz w:val="16"/>
              </w:rPr>
              <w:t>0</w:t>
            </w:r>
          </w:p>
        </w:tc>
        <w:tc>
          <w:tcPr>
            <w:tcW w:type="dxa" w:w="1513"/>
          </w:tcPr>
          <w:p>
            <w:pPr>
              <w:spacing w:after="0"/>
              <w:jc w:val="right"/>
            </w:pPr>
            <w:r>
              <w:rPr>
                <w:sz w:val="16"/>
              </w:rPr>
              <w:t>1</w:t>
            </w:r>
          </w:p>
        </w:tc>
        <w:tc>
          <w:tcPr>
            <w:tcW w:type="dxa" w:w="930"/>
          </w:tcPr>
          <w:p>
            <w:pPr>
              <w:spacing w:after="0"/>
              <w:jc w:val="left"/>
            </w:pPr>
          </w:p>
        </w:tc>
      </w:tr>
      <w:tr>
        <w:trPr>
          <w:cantSplit/>
        </w:trPr>
        <w:tc>
          <w:tcPr>
            <w:tcW w:type="dxa" w:w="2000"/>
          </w:tcPr>
          <w:p>
            <w:pPr>
              <w:spacing w:after="0"/>
              <w:jc w:val="left"/>
            </w:pPr>
            <w:r>
              <w:rPr>
                <w:sz w:val="16"/>
              </w:rPr>
              <w:t>Tennyson town</w:t>
            </w:r>
          </w:p>
        </w:tc>
        <w:tc>
          <w:tcPr>
            <w:tcW w:type="dxa" w:w="1513"/>
          </w:tcPr>
          <w:p>
            <w:pPr>
              <w:spacing w:after="0"/>
              <w:jc w:val="left"/>
            </w:pPr>
            <w:r>
              <w:rPr>
                <w:sz w:val="16"/>
              </w:rPr>
              <w:t>180350</w:t>
            </w:r>
          </w:p>
        </w:tc>
        <w:tc>
          <w:tcPr>
            <w:tcW w:type="dxa" w:w="1359"/>
          </w:tcPr>
          <w:p>
            <w:pPr>
              <w:spacing w:after="0"/>
              <w:jc w:val="right"/>
            </w:pPr>
            <w:r>
              <w:rPr>
                <w:sz w:val="16"/>
              </w:rPr>
              <w:t>0</w:t>
            </w:r>
          </w:p>
        </w:tc>
        <w:tc>
          <w:tcPr>
            <w:tcW w:type="dxa" w:w="1359"/>
          </w:tcPr>
          <w:p>
            <w:pPr>
              <w:spacing w:after="0"/>
              <w:jc w:val="right"/>
            </w:pPr>
            <w:r>
              <w:rPr>
                <w:sz w:val="16"/>
              </w:rPr>
              <w:t>0</w:t>
            </w:r>
          </w:p>
        </w:tc>
        <w:tc>
          <w:tcPr>
            <w:tcW w:type="dxa" w:w="1359"/>
          </w:tcPr>
          <w:p>
            <w:pPr>
              <w:spacing w:after="0"/>
              <w:jc w:val="right"/>
            </w:pPr>
            <w:r>
              <w:rPr>
                <w:sz w:val="16"/>
              </w:rPr>
              <w:t>0</w:t>
            </w:r>
          </w:p>
        </w:tc>
        <w:tc>
          <w:tcPr>
            <w:tcW w:type="dxa" w:w="1359"/>
          </w:tcPr>
          <w:p>
            <w:pPr>
              <w:spacing w:after="0"/>
              <w:jc w:val="right"/>
            </w:pPr>
            <w:r>
              <w:rPr>
                <w:sz w:val="16"/>
              </w:rPr>
              <w:t>0</w:t>
            </w:r>
          </w:p>
        </w:tc>
        <w:tc>
          <w:tcPr>
            <w:tcW w:type="dxa" w:w="1359"/>
          </w:tcPr>
          <w:p>
            <w:pPr>
              <w:spacing w:after="0"/>
              <w:jc w:val="right"/>
            </w:pPr>
            <w:r>
              <w:rPr>
                <w:sz w:val="16"/>
              </w:rPr>
              <w:t>0</w:t>
            </w:r>
          </w:p>
        </w:tc>
        <w:tc>
          <w:tcPr>
            <w:tcW w:type="dxa" w:w="1359"/>
          </w:tcPr>
          <w:p>
            <w:pPr>
              <w:spacing w:after="0"/>
              <w:jc w:val="right"/>
            </w:pPr>
            <w:r>
              <w:rPr>
                <w:sz w:val="16"/>
              </w:rPr>
              <w:t>0</w:t>
            </w:r>
          </w:p>
        </w:tc>
        <w:tc>
          <w:tcPr>
            <w:tcW w:type="dxa" w:w="1513"/>
          </w:tcPr>
          <w:p>
            <w:pPr>
              <w:spacing w:after="0"/>
              <w:jc w:val="right"/>
            </w:pPr>
            <w:r>
              <w:rPr>
                <w:sz w:val="16"/>
              </w:rPr>
              <w:t>0</w:t>
            </w:r>
          </w:p>
        </w:tc>
        <w:tc>
          <w:tcPr>
            <w:tcW w:type="dxa" w:w="930"/>
          </w:tcPr>
          <w:p>
            <w:pPr>
              <w:spacing w:after="0"/>
              <w:jc w:val="left"/>
            </w:pPr>
          </w:p>
        </w:tc>
      </w:tr>
    </w:tbl>
    <w:p>
      <w:pPr>
        <w:spacing w:after="40" w:before="60"/>
      </w:pPr>
      <w:r>
        <w:rPr>
          <w:sz w:val="15"/>
        </w:rPr>
        <w:t>Member rows are whole NFIP communities and need not add up to the county total: a community that extends into another county is counted in full on each member row, while the county table counts only its part in this county.</w:t>
      </w:r>
    </w:p>
    <w:p>
      <w:pPr>
        <w:spacing w:after="40" w:before="0"/>
      </w:pPr>
      <w:r>
        <w:rPr>
          <w:sz w:val="15"/>
        </w:rPr>
        <w:t>Per-member types: XLSX sheet 'B2-c Members'.</w:t>
      </w:r>
    </w:p>
    <w:p>
      <w:pPr>
        <w:spacing w:after="20" w:before="0"/>
      </w:pPr>
      <w:r>
        <w:rPr>
          <w:b/>
          <w:color w:val="555555"/>
          <w:sz w:val="15"/>
        </w:rPr>
        <w:t xml:space="preserve">Source: </w:t>
      </w:r>
      <w:r>
        <w:rPr>
          <w:color w:val="555555"/>
          <w:sz w:val="15"/>
        </w:rPr>
        <w:t xml:space="preserve">FEMA, </w:t>
      </w:r>
      <w:hyperlink r:id="rId22">
        <w:r>
          <w:rPr>
            <w:color w:val="1F4E99"/>
            <w:sz w:val="15"/>
            <w:u w:val="single"/>
          </w:rPr>
          <w:t>OpenFEMA NfipMultipleLossProperties v1</w:t>
        </w:r>
      </w:hyperlink>
      <w:r>
        <w:rPr>
          <w:color w:val="555555"/>
          <w:sz w:val="15"/>
        </w:rPr>
        <w:t xml:space="preserve">, version 2026-08-04T164045Z, pulled 2026-09-28, </w:t>
      </w:r>
      <w:hyperlink r:id="rId23">
        <w:r>
          <w:rPr>
            <w:color w:val="1F4E99"/>
            <w:sz w:val="15"/>
            <w:u w:val="single"/>
          </w:rPr>
          <w:t>https://www.fema.gov/api/open/v1/NfipMultipleLossProperties</w:t>
        </w:r>
      </w:hyperlink>
      <w:r>
        <w:rPr>
          <w:color w:val="555555"/>
          <w:sz w:val="15"/>
        </w:rPr>
        <w:t xml:space="preserve"> (API)</w:t>
      </w:r>
    </w:p>
    <w:p>
      <w:pPr>
        <w:spacing w:after="20" w:before="0"/>
      </w:pPr>
      <w:r>
        <w:rPr>
          <w:b/>
          <w:color w:val="555555"/>
          <w:sz w:val="15"/>
        </w:rPr>
        <w:t xml:space="preserve">Source: </w:t>
      </w:r>
      <w:r>
        <w:rPr>
          <w:color w:val="555555"/>
          <w:sz w:val="15"/>
        </w:rPr>
        <w:t xml:space="preserve">FEMA, </w:t>
      </w:r>
      <w:hyperlink r:id="rId11">
        <w:r>
          <w:rPr>
            <w:color w:val="1F4E99"/>
            <w:sz w:val="15"/>
            <w:u w:val="single"/>
          </w:rPr>
          <w:t>OpenFEMA HazardMitigationPlanStatuses v1</w:t>
        </w:r>
      </w:hyperlink>
      <w:r>
        <w:rPr>
          <w:color w:val="555555"/>
          <w:sz w:val="15"/>
        </w:rPr>
        <w:t xml:space="preserve">, version 2026-09-26T121003Z, pulled 2026-09-28, </w:t>
      </w:r>
      <w:hyperlink r:id="rId12">
        <w:r>
          <w:rPr>
            <w:color w:val="1F4E99"/>
            <w:sz w:val="15"/>
            <w:u w:val="single"/>
          </w:rPr>
          <w:t>https://www.fema.gov/api/open/v1/HazardMitigationPlanStatuses</w:t>
        </w:r>
      </w:hyperlink>
      <w:r>
        <w:rPr>
          <w:color w:val="555555"/>
          <w:sz w:val="15"/>
        </w:rPr>
        <w:t xml:space="preserve"> (API)</w:t>
      </w:r>
    </w:p>
    <w:p>
      <w:pPr>
        <w:spacing w:after="80" w:before="0"/>
      </w:pPr>
    </w:p>
    <w:p>
      <w:pPr>
        <w:pStyle w:val="Heading3"/>
        <w:keepNext/>
        <w:spacing w:after="80"/>
      </w:pPr>
      <w:r>
        <w:rPr/>
        <w:t>County repeat-flood properties by occupancy group</w:t>
      </w:r>
    </w:p>
    <w:tbl>
      <w:tblPr>
        <w:tblW w:type="auto" w:w="0"/>
        <w:jc w:val="left"/>
        <w:tblBorders>
          <w:top w:val="single" w:sz="4" w:space="0" w:color="808080"/>
          <w:left w:val="single" w:sz="4" w:space="0" w:color="808080"/>
          <w:bottom w:val="single" w:sz="4" w:space="0" w:color="808080"/>
          <w:right w:val="single" w:sz="4" w:space="0" w:color="808080"/>
          <w:insideH w:val="single" w:sz="4" w:space="0" w:color="808080"/>
          <w:insideV w:val="single" w:sz="4" w:space="0" w:color="808080"/>
        </w:tblBorders>
        <w:tblLayout w:type="fixed"/>
        <w:tblCellMar>
          <w:top w:w="15" w:type="dxa"/>
          <w:left w:w="60" w:type="dxa"/>
          <w:bottom w:w="15" w:type="dxa"/>
          <w:right w:w="60" w:type="dxa"/>
        </w:tblCellMar>
        <w:tblLook w:firstColumn="1" w:firstRow="1" w:lastColumn="0" w:lastRow="0" w:noHBand="0" w:noVBand="1" w:val="04A0"/>
        <w:tblCaption w:val="County repeat-flood properties by occupancy group"/>
        <w:tblDescription w:val="Hazard Plain table b2c_occupancy"/>
      </w:tblPr>
      <w:tblGrid>
        <w:gridCol w:w="3470"/>
        <w:gridCol w:w="1496"/>
        <w:gridCol w:w="1496"/>
        <w:gridCol w:w="1496"/>
        <w:gridCol w:w="1496"/>
        <w:gridCol w:w="1496"/>
        <w:gridCol w:w="1496"/>
        <w:gridCol w:w="1665"/>
      </w:tblGrid>
      <w:tr>
        <w:trPr>
          <w:cantSplit/>
          <w:tblHeader/>
        </w:trPr>
        <w:tc>
          <w:tcPr>
            <w:tcW w:type="dxa" w:w="3470"/>
            <w:shd w:val="clear" w:color="auto" w:fill="E8E8E8"/>
          </w:tcPr>
          <w:p>
            <w:pPr>
              <w:spacing w:after="0"/>
              <w:jc w:val="left"/>
            </w:pPr>
            <w:r>
              <w:rPr>
                <w:b/>
                <w:sz w:val="16"/>
              </w:rPr>
              <w:t>Occupancy group</w:t>
            </w:r>
          </w:p>
        </w:tc>
        <w:tc>
          <w:tcPr>
            <w:tcW w:type="dxa" w:w="1496"/>
            <w:shd w:val="clear" w:color="auto" w:fill="E8E8E8"/>
          </w:tcPr>
          <w:p>
            <w:pPr>
              <w:spacing w:after="0"/>
              <w:jc w:val="right"/>
            </w:pPr>
            <w:r>
              <w:rPr>
                <w:b/>
                <w:sz w:val="16"/>
              </w:rPr>
              <w:t>RL, FMA</w:t>
            </w:r>
          </w:p>
          <w:p>
            <w:pPr>
              <w:spacing w:after="0"/>
              <w:jc w:val="right"/>
            </w:pPr>
            <w:r>
              <w:rPr>
                <w:i/>
                <w:color w:val="555555"/>
                <w:sz w:val="14"/>
              </w:rPr>
              <w:t>properties</w:t>
            </w:r>
          </w:p>
        </w:tc>
        <w:tc>
          <w:tcPr>
            <w:tcW w:type="dxa" w:w="1496"/>
            <w:shd w:val="clear" w:color="auto" w:fill="E8E8E8"/>
          </w:tcPr>
          <w:p>
            <w:pPr>
              <w:spacing w:after="0"/>
              <w:jc w:val="right"/>
            </w:pPr>
            <w:r>
              <w:rPr>
                <w:b/>
                <w:sz w:val="16"/>
              </w:rPr>
              <w:t>SRL, FMA</w:t>
            </w:r>
          </w:p>
          <w:p>
            <w:pPr>
              <w:spacing w:after="0"/>
              <w:jc w:val="right"/>
            </w:pPr>
            <w:r>
              <w:rPr>
                <w:i/>
                <w:color w:val="555555"/>
                <w:sz w:val="14"/>
              </w:rPr>
              <w:t>properties</w:t>
            </w:r>
          </w:p>
        </w:tc>
        <w:tc>
          <w:tcPr>
            <w:tcW w:type="dxa" w:w="1496"/>
            <w:shd w:val="clear" w:color="auto" w:fill="E8E8E8"/>
          </w:tcPr>
          <w:p>
            <w:pPr>
              <w:spacing w:after="0"/>
              <w:jc w:val="right"/>
            </w:pPr>
            <w:r>
              <w:rPr>
                <w:b/>
                <w:sz w:val="16"/>
              </w:rPr>
              <w:t>RL, NFIP</w:t>
            </w:r>
          </w:p>
          <w:p>
            <w:pPr>
              <w:spacing w:after="0"/>
              <w:jc w:val="right"/>
            </w:pPr>
            <w:r>
              <w:rPr>
                <w:i/>
                <w:color w:val="555555"/>
                <w:sz w:val="14"/>
              </w:rPr>
              <w:t>properties</w:t>
            </w:r>
          </w:p>
        </w:tc>
        <w:tc>
          <w:tcPr>
            <w:tcW w:type="dxa" w:w="1496"/>
            <w:shd w:val="clear" w:color="auto" w:fill="E8E8E8"/>
          </w:tcPr>
          <w:p>
            <w:pPr>
              <w:spacing w:after="0"/>
              <w:jc w:val="right"/>
            </w:pPr>
            <w:r>
              <w:rPr>
                <w:b/>
                <w:sz w:val="16"/>
              </w:rPr>
              <w:t>SRL, NFIP</w:t>
            </w:r>
          </w:p>
          <w:p>
            <w:pPr>
              <w:spacing w:after="0"/>
              <w:jc w:val="right"/>
            </w:pPr>
            <w:r>
              <w:rPr>
                <w:i/>
                <w:color w:val="555555"/>
                <w:sz w:val="14"/>
              </w:rPr>
              <w:t>properties</w:t>
            </w:r>
          </w:p>
        </w:tc>
        <w:tc>
          <w:tcPr>
            <w:tcW w:type="dxa" w:w="1496"/>
            <w:shd w:val="clear" w:color="auto" w:fill="E8E8E8"/>
          </w:tcPr>
          <w:p>
            <w:pPr>
              <w:spacing w:after="0"/>
              <w:jc w:val="right"/>
            </w:pPr>
            <w:r>
              <w:rPr>
                <w:b/>
                <w:sz w:val="16"/>
              </w:rPr>
              <w:t>Any category</w:t>
            </w:r>
          </w:p>
          <w:p>
            <w:pPr>
              <w:spacing w:after="0"/>
              <w:jc w:val="right"/>
            </w:pPr>
            <w:r>
              <w:rPr>
                <w:i/>
                <w:color w:val="555555"/>
                <w:sz w:val="14"/>
              </w:rPr>
              <w:t>properties</w:t>
            </w:r>
          </w:p>
        </w:tc>
        <w:tc>
          <w:tcPr>
            <w:tcW w:type="dxa" w:w="1496"/>
            <w:shd w:val="clear" w:color="auto" w:fill="E8E8E8"/>
          </w:tcPr>
          <w:p>
            <w:pPr>
              <w:spacing w:after="0"/>
              <w:jc w:val="right"/>
            </w:pPr>
            <w:r>
              <w:rPr>
                <w:b/>
                <w:sz w:val="16"/>
              </w:rPr>
              <w:t>Mitigated</w:t>
            </w:r>
          </w:p>
          <w:p>
            <w:pPr>
              <w:spacing w:after="0"/>
              <w:jc w:val="right"/>
            </w:pPr>
            <w:r>
              <w:rPr>
                <w:i/>
                <w:color w:val="555555"/>
                <w:sz w:val="14"/>
              </w:rPr>
              <w:t>properties</w:t>
            </w:r>
          </w:p>
        </w:tc>
        <w:tc>
          <w:tcPr>
            <w:tcW w:type="dxa" w:w="1665"/>
            <w:shd w:val="clear" w:color="auto" w:fill="E8E8E8"/>
          </w:tcPr>
          <w:p>
            <w:pPr>
              <w:spacing w:after="0"/>
              <w:jc w:val="right"/>
            </w:pPr>
            <w:r>
              <w:rPr>
                <w:b/>
                <w:sz w:val="16"/>
              </w:rPr>
              <w:t>Currently insured</w:t>
            </w:r>
          </w:p>
          <w:p>
            <w:pPr>
              <w:spacing w:after="0"/>
              <w:jc w:val="right"/>
            </w:pPr>
            <w:r>
              <w:rPr>
                <w:i/>
                <w:color w:val="555555"/>
                <w:sz w:val="14"/>
              </w:rPr>
              <w:t>properties</w:t>
            </w:r>
          </w:p>
        </w:tc>
      </w:tr>
      <w:tr>
        <w:trPr>
          <w:cantSplit/>
        </w:trPr>
        <w:tc>
          <w:tcPr>
            <w:tcW w:type="dxa" w:w="3470"/>
          </w:tcPr>
          <w:p>
            <w:pPr>
              <w:spacing w:after="0"/>
              <w:jc w:val="left"/>
            </w:pPr>
            <w:r>
              <w:rPr>
                <w:sz w:val="16"/>
              </w:rPr>
              <w:t>single-family residential</w:t>
            </w:r>
          </w:p>
        </w:tc>
        <w:tc>
          <w:tcPr>
            <w:tcW w:type="dxa" w:w="1496"/>
          </w:tcPr>
          <w:p>
            <w:pPr>
              <w:spacing w:after="0"/>
              <w:jc w:val="right"/>
            </w:pPr>
            <w:r>
              <w:rPr>
                <w:sz w:val="16"/>
              </w:rPr>
              <w:t>1</w:t>
            </w:r>
          </w:p>
        </w:tc>
        <w:tc>
          <w:tcPr>
            <w:tcW w:type="dxa" w:w="1496"/>
          </w:tcPr>
          <w:p>
            <w:pPr>
              <w:spacing w:after="0"/>
              <w:jc w:val="right"/>
            </w:pPr>
            <w:r>
              <w:rPr>
                <w:sz w:val="16"/>
              </w:rPr>
              <w:t>2</w:t>
            </w:r>
          </w:p>
        </w:tc>
        <w:tc>
          <w:tcPr>
            <w:tcW w:type="dxa" w:w="1496"/>
          </w:tcPr>
          <w:p>
            <w:pPr>
              <w:spacing w:after="0"/>
              <w:jc w:val="right"/>
            </w:pPr>
            <w:r>
              <w:rPr>
                <w:sz w:val="16"/>
              </w:rPr>
              <w:t>7</w:t>
            </w:r>
          </w:p>
        </w:tc>
        <w:tc>
          <w:tcPr>
            <w:tcW w:type="dxa" w:w="1496"/>
          </w:tcPr>
          <w:p>
            <w:pPr>
              <w:spacing w:after="0"/>
              <w:jc w:val="right"/>
            </w:pPr>
            <w:r>
              <w:rPr>
                <w:sz w:val="16"/>
              </w:rPr>
              <w:t>1</w:t>
            </w:r>
          </w:p>
        </w:tc>
        <w:tc>
          <w:tcPr>
            <w:tcW w:type="dxa" w:w="1496"/>
          </w:tcPr>
          <w:p>
            <w:pPr>
              <w:spacing w:after="0"/>
              <w:jc w:val="right"/>
            </w:pPr>
            <w:r>
              <w:rPr>
                <w:sz w:val="16"/>
              </w:rPr>
              <w:t>7</w:t>
            </w:r>
          </w:p>
        </w:tc>
        <w:tc>
          <w:tcPr>
            <w:tcW w:type="dxa" w:w="1496"/>
          </w:tcPr>
          <w:p>
            <w:pPr>
              <w:spacing w:after="0"/>
              <w:jc w:val="right"/>
            </w:pPr>
            <w:r>
              <w:rPr>
                <w:sz w:val="16"/>
              </w:rPr>
              <w:t>0</w:t>
            </w:r>
          </w:p>
        </w:tc>
        <w:tc>
          <w:tcPr>
            <w:tcW w:type="dxa" w:w="1665"/>
          </w:tcPr>
          <w:p>
            <w:pPr>
              <w:spacing w:after="0"/>
              <w:jc w:val="right"/>
            </w:pPr>
            <w:r>
              <w:rPr>
                <w:sz w:val="16"/>
              </w:rPr>
              <w:t>4</w:t>
            </w:r>
          </w:p>
        </w:tc>
      </w:tr>
      <w:tr>
        <w:trPr>
          <w:cantSplit/>
        </w:trPr>
        <w:tc>
          <w:tcPr>
            <w:tcW w:type="dxa" w:w="3470"/>
          </w:tcPr>
          <w:p>
            <w:pPr>
              <w:spacing w:after="0"/>
              <w:jc w:val="left"/>
            </w:pPr>
            <w:r>
              <w:rPr>
                <w:sz w:val="16"/>
              </w:rPr>
              <w:t>2 to 4 unit residential</w:t>
            </w:r>
          </w:p>
        </w:tc>
        <w:tc>
          <w:tcPr>
            <w:tcW w:type="dxa" w:w="1496"/>
          </w:tcPr>
          <w:p>
            <w:pPr>
              <w:spacing w:after="0"/>
              <w:jc w:val="right"/>
            </w:pPr>
            <w:r>
              <w:rPr>
                <w:sz w:val="16"/>
              </w:rPr>
              <w:t>0</w:t>
            </w:r>
          </w:p>
        </w:tc>
        <w:tc>
          <w:tcPr>
            <w:tcW w:type="dxa" w:w="1496"/>
          </w:tcPr>
          <w:p>
            <w:pPr>
              <w:spacing w:after="0"/>
              <w:jc w:val="right"/>
            </w:pPr>
            <w:r>
              <w:rPr>
                <w:sz w:val="16"/>
              </w:rPr>
              <w:t>0</w:t>
            </w:r>
          </w:p>
        </w:tc>
        <w:tc>
          <w:tcPr>
            <w:tcW w:type="dxa" w:w="1496"/>
          </w:tcPr>
          <w:p>
            <w:pPr>
              <w:spacing w:after="0"/>
              <w:jc w:val="right"/>
            </w:pPr>
            <w:r>
              <w:rPr>
                <w:sz w:val="16"/>
              </w:rPr>
              <w:t>0</w:t>
            </w:r>
          </w:p>
        </w:tc>
        <w:tc>
          <w:tcPr>
            <w:tcW w:type="dxa" w:w="1496"/>
          </w:tcPr>
          <w:p>
            <w:pPr>
              <w:spacing w:after="0"/>
              <w:jc w:val="right"/>
            </w:pPr>
            <w:r>
              <w:rPr>
                <w:sz w:val="16"/>
              </w:rPr>
              <w:t>0</w:t>
            </w:r>
          </w:p>
        </w:tc>
        <w:tc>
          <w:tcPr>
            <w:tcW w:type="dxa" w:w="1496"/>
          </w:tcPr>
          <w:p>
            <w:pPr>
              <w:spacing w:after="0"/>
              <w:jc w:val="right"/>
            </w:pPr>
            <w:r>
              <w:rPr>
                <w:sz w:val="16"/>
              </w:rPr>
              <w:t>0</w:t>
            </w:r>
          </w:p>
        </w:tc>
        <w:tc>
          <w:tcPr>
            <w:tcW w:type="dxa" w:w="1496"/>
          </w:tcPr>
          <w:p>
            <w:pPr>
              <w:spacing w:after="0"/>
              <w:jc w:val="right"/>
            </w:pPr>
            <w:r>
              <w:rPr>
                <w:sz w:val="16"/>
              </w:rPr>
              <w:t>0</w:t>
            </w:r>
          </w:p>
        </w:tc>
        <w:tc>
          <w:tcPr>
            <w:tcW w:type="dxa" w:w="1665"/>
          </w:tcPr>
          <w:p>
            <w:pPr>
              <w:spacing w:after="0"/>
              <w:jc w:val="right"/>
            </w:pPr>
            <w:r>
              <w:rPr>
                <w:sz w:val="16"/>
              </w:rPr>
              <w:t>0</w:t>
            </w:r>
          </w:p>
        </w:tc>
      </w:tr>
      <w:tr>
        <w:trPr>
          <w:cantSplit/>
        </w:trPr>
        <w:tc>
          <w:tcPr>
            <w:tcW w:type="dxa" w:w="3470"/>
          </w:tcPr>
          <w:p>
            <w:pPr>
              <w:spacing w:after="0"/>
              <w:jc w:val="left"/>
            </w:pPr>
            <w:r>
              <w:rPr>
                <w:sz w:val="16"/>
              </w:rPr>
              <w:t>other residential</w:t>
            </w:r>
          </w:p>
        </w:tc>
        <w:tc>
          <w:tcPr>
            <w:tcW w:type="dxa" w:w="1496"/>
          </w:tcPr>
          <w:p>
            <w:pPr>
              <w:spacing w:after="0"/>
              <w:jc w:val="right"/>
            </w:pPr>
            <w:r>
              <w:rPr>
                <w:sz w:val="16"/>
              </w:rPr>
              <w:t>0</w:t>
            </w:r>
          </w:p>
        </w:tc>
        <w:tc>
          <w:tcPr>
            <w:tcW w:type="dxa" w:w="1496"/>
          </w:tcPr>
          <w:p>
            <w:pPr>
              <w:spacing w:after="0"/>
              <w:jc w:val="right"/>
            </w:pPr>
            <w:r>
              <w:rPr>
                <w:sz w:val="16"/>
              </w:rPr>
              <w:t>0</w:t>
            </w:r>
          </w:p>
        </w:tc>
        <w:tc>
          <w:tcPr>
            <w:tcW w:type="dxa" w:w="1496"/>
          </w:tcPr>
          <w:p>
            <w:pPr>
              <w:spacing w:after="0"/>
              <w:jc w:val="right"/>
            </w:pPr>
            <w:r>
              <w:rPr>
                <w:sz w:val="16"/>
              </w:rPr>
              <w:t>0</w:t>
            </w:r>
          </w:p>
        </w:tc>
        <w:tc>
          <w:tcPr>
            <w:tcW w:type="dxa" w:w="1496"/>
          </w:tcPr>
          <w:p>
            <w:pPr>
              <w:spacing w:after="0"/>
              <w:jc w:val="right"/>
            </w:pPr>
            <w:r>
              <w:rPr>
                <w:sz w:val="16"/>
              </w:rPr>
              <w:t>0</w:t>
            </w:r>
          </w:p>
        </w:tc>
        <w:tc>
          <w:tcPr>
            <w:tcW w:type="dxa" w:w="1496"/>
          </w:tcPr>
          <w:p>
            <w:pPr>
              <w:spacing w:after="0"/>
              <w:jc w:val="right"/>
            </w:pPr>
            <w:r>
              <w:rPr>
                <w:sz w:val="16"/>
              </w:rPr>
              <w:t>0</w:t>
            </w:r>
          </w:p>
        </w:tc>
        <w:tc>
          <w:tcPr>
            <w:tcW w:type="dxa" w:w="1496"/>
          </w:tcPr>
          <w:p>
            <w:pPr>
              <w:spacing w:after="0"/>
              <w:jc w:val="right"/>
            </w:pPr>
            <w:r>
              <w:rPr>
                <w:sz w:val="16"/>
              </w:rPr>
              <w:t>0</w:t>
            </w:r>
          </w:p>
        </w:tc>
        <w:tc>
          <w:tcPr>
            <w:tcW w:type="dxa" w:w="1665"/>
          </w:tcPr>
          <w:p>
            <w:pPr>
              <w:spacing w:after="0"/>
              <w:jc w:val="right"/>
            </w:pPr>
            <w:r>
              <w:rPr>
                <w:sz w:val="16"/>
              </w:rPr>
              <w:t>0</w:t>
            </w:r>
          </w:p>
        </w:tc>
      </w:tr>
      <w:tr>
        <w:trPr>
          <w:cantSplit/>
        </w:trPr>
        <w:tc>
          <w:tcPr>
            <w:tcW w:type="dxa" w:w="3470"/>
          </w:tcPr>
          <w:p>
            <w:pPr>
              <w:spacing w:after="0"/>
              <w:jc w:val="left"/>
            </w:pPr>
            <w:r>
              <w:rPr>
                <w:sz w:val="16"/>
              </w:rPr>
              <w:t>non-residential</w:t>
            </w:r>
          </w:p>
        </w:tc>
        <w:tc>
          <w:tcPr>
            <w:tcW w:type="dxa" w:w="1496"/>
          </w:tcPr>
          <w:p>
            <w:pPr>
              <w:spacing w:after="0"/>
              <w:jc w:val="right"/>
            </w:pPr>
            <w:r>
              <w:rPr>
                <w:sz w:val="16"/>
              </w:rPr>
              <w:t>0</w:t>
            </w:r>
          </w:p>
        </w:tc>
        <w:tc>
          <w:tcPr>
            <w:tcW w:type="dxa" w:w="1496"/>
          </w:tcPr>
          <w:p>
            <w:pPr>
              <w:spacing w:after="0"/>
              <w:jc w:val="right"/>
            </w:pPr>
            <w:r>
              <w:rPr>
                <w:sz w:val="16"/>
              </w:rPr>
              <w:t>0</w:t>
            </w:r>
          </w:p>
        </w:tc>
        <w:tc>
          <w:tcPr>
            <w:tcW w:type="dxa" w:w="1496"/>
          </w:tcPr>
          <w:p>
            <w:pPr>
              <w:spacing w:after="0"/>
              <w:jc w:val="right"/>
            </w:pPr>
            <w:r>
              <w:rPr>
                <w:sz w:val="16"/>
              </w:rPr>
              <w:t>0</w:t>
            </w:r>
          </w:p>
        </w:tc>
        <w:tc>
          <w:tcPr>
            <w:tcW w:type="dxa" w:w="1496"/>
          </w:tcPr>
          <w:p>
            <w:pPr>
              <w:spacing w:after="0"/>
              <w:jc w:val="right"/>
            </w:pPr>
            <w:r>
              <w:rPr>
                <w:sz w:val="16"/>
              </w:rPr>
              <w:t>0</w:t>
            </w:r>
          </w:p>
        </w:tc>
        <w:tc>
          <w:tcPr>
            <w:tcW w:type="dxa" w:w="1496"/>
          </w:tcPr>
          <w:p>
            <w:pPr>
              <w:spacing w:after="0"/>
              <w:jc w:val="right"/>
            </w:pPr>
            <w:r>
              <w:rPr>
                <w:sz w:val="16"/>
              </w:rPr>
              <w:t>0</w:t>
            </w:r>
          </w:p>
        </w:tc>
        <w:tc>
          <w:tcPr>
            <w:tcW w:type="dxa" w:w="1496"/>
          </w:tcPr>
          <w:p>
            <w:pPr>
              <w:spacing w:after="0"/>
              <w:jc w:val="right"/>
            </w:pPr>
            <w:r>
              <w:rPr>
                <w:sz w:val="16"/>
              </w:rPr>
              <w:t>0</w:t>
            </w:r>
          </w:p>
        </w:tc>
        <w:tc>
          <w:tcPr>
            <w:tcW w:type="dxa" w:w="1665"/>
          </w:tcPr>
          <w:p>
            <w:pPr>
              <w:spacing w:after="0"/>
              <w:jc w:val="right"/>
            </w:pPr>
            <w:r>
              <w:rPr>
                <w:sz w:val="16"/>
              </w:rPr>
              <w:t>0</w:t>
            </w:r>
          </w:p>
        </w:tc>
      </w:tr>
      <w:tr>
        <w:trPr>
          <w:cantSplit/>
        </w:trPr>
        <w:tc>
          <w:tcPr>
            <w:tcW w:type="dxa" w:w="3470"/>
          </w:tcPr>
          <w:p>
            <w:pPr>
              <w:spacing w:after="0"/>
              <w:jc w:val="left"/>
            </w:pPr>
            <w:r>
              <w:rPr>
                <w:sz w:val="16"/>
              </w:rPr>
              <w:t>not reported</w:t>
            </w:r>
          </w:p>
        </w:tc>
        <w:tc>
          <w:tcPr>
            <w:tcW w:type="dxa" w:w="1496"/>
          </w:tcPr>
          <w:p>
            <w:pPr>
              <w:spacing w:after="0"/>
              <w:jc w:val="right"/>
            </w:pPr>
            <w:r>
              <w:rPr>
                <w:sz w:val="16"/>
              </w:rPr>
              <w:t>0</w:t>
            </w:r>
          </w:p>
        </w:tc>
        <w:tc>
          <w:tcPr>
            <w:tcW w:type="dxa" w:w="1496"/>
          </w:tcPr>
          <w:p>
            <w:pPr>
              <w:spacing w:after="0"/>
              <w:jc w:val="right"/>
            </w:pPr>
            <w:r>
              <w:rPr>
                <w:sz w:val="16"/>
              </w:rPr>
              <w:t>0</w:t>
            </w:r>
          </w:p>
        </w:tc>
        <w:tc>
          <w:tcPr>
            <w:tcW w:type="dxa" w:w="1496"/>
          </w:tcPr>
          <w:p>
            <w:pPr>
              <w:spacing w:after="0"/>
              <w:jc w:val="right"/>
            </w:pPr>
            <w:r>
              <w:rPr>
                <w:sz w:val="16"/>
              </w:rPr>
              <w:t>0</w:t>
            </w:r>
          </w:p>
        </w:tc>
        <w:tc>
          <w:tcPr>
            <w:tcW w:type="dxa" w:w="1496"/>
          </w:tcPr>
          <w:p>
            <w:pPr>
              <w:spacing w:after="0"/>
              <w:jc w:val="right"/>
            </w:pPr>
            <w:r>
              <w:rPr>
                <w:sz w:val="16"/>
              </w:rPr>
              <w:t>0</w:t>
            </w:r>
          </w:p>
        </w:tc>
        <w:tc>
          <w:tcPr>
            <w:tcW w:type="dxa" w:w="1496"/>
          </w:tcPr>
          <w:p>
            <w:pPr>
              <w:spacing w:after="0"/>
              <w:jc w:val="right"/>
            </w:pPr>
            <w:r>
              <w:rPr>
                <w:sz w:val="16"/>
              </w:rPr>
              <w:t>0</w:t>
            </w:r>
          </w:p>
        </w:tc>
        <w:tc>
          <w:tcPr>
            <w:tcW w:type="dxa" w:w="1496"/>
          </w:tcPr>
          <w:p>
            <w:pPr>
              <w:spacing w:after="0"/>
              <w:jc w:val="right"/>
            </w:pPr>
            <w:r>
              <w:rPr>
                <w:sz w:val="16"/>
              </w:rPr>
              <w:t>0</w:t>
            </w:r>
          </w:p>
        </w:tc>
        <w:tc>
          <w:tcPr>
            <w:tcW w:type="dxa" w:w="1665"/>
          </w:tcPr>
          <w:p>
            <w:pPr>
              <w:spacing w:after="0"/>
              <w:jc w:val="right"/>
            </w:pPr>
            <w:r>
              <w:rPr>
                <w:sz w:val="16"/>
              </w:rPr>
              <w:t>0</w:t>
            </w:r>
          </w:p>
        </w:tc>
      </w:tr>
    </w:tbl>
    <w:p>
      <w:pPr>
        <w:spacing w:after="40" w:before="60"/>
      </w:pPr>
      <w:r>
        <w:rPr>
          <w:sz w:val="15"/>
        </w:rPr>
        <w:t>Institutional properties cannot be separated in this data: FEMA's occupancy groups have no institutional class, so they fall in non-residential or other residential in the table by occupancy group.</w:t>
      </w:r>
    </w:p>
    <w:p>
      <w:pPr>
        <w:spacing w:after="20" w:before="0"/>
      </w:pPr>
      <w:r>
        <w:rPr>
          <w:b/>
          <w:color w:val="555555"/>
          <w:sz w:val="15"/>
        </w:rPr>
        <w:t xml:space="preserve">Source: </w:t>
      </w:r>
      <w:r>
        <w:rPr>
          <w:color w:val="555555"/>
          <w:sz w:val="15"/>
        </w:rPr>
        <w:t xml:space="preserve">FEMA, </w:t>
      </w:r>
      <w:hyperlink r:id="rId22">
        <w:r>
          <w:rPr>
            <w:color w:val="1F4E99"/>
            <w:sz w:val="15"/>
            <w:u w:val="single"/>
          </w:rPr>
          <w:t>OpenFEMA NfipMultipleLossProperties v1</w:t>
        </w:r>
      </w:hyperlink>
      <w:r>
        <w:rPr>
          <w:color w:val="555555"/>
          <w:sz w:val="15"/>
        </w:rPr>
        <w:t xml:space="preserve">, version 2026-08-04T164045Z, pulled 2026-09-28, </w:t>
      </w:r>
      <w:hyperlink r:id="rId23">
        <w:r>
          <w:rPr>
            <w:color w:val="1F4E99"/>
            <w:sz w:val="15"/>
            <w:u w:val="single"/>
          </w:rPr>
          <w:t>https://www.fema.gov/api/open/v1/NfipMultipleLossProperties</w:t>
        </w:r>
      </w:hyperlink>
      <w:r>
        <w:rPr>
          <w:color w:val="555555"/>
          <w:sz w:val="15"/>
        </w:rPr>
        <w:t xml:space="preserve"> (API)</w:t>
      </w:r>
    </w:p>
    <w:p>
      <w:pPr>
        <w:spacing w:after="20" w:before="0"/>
      </w:pPr>
      <w:r>
        <w:rPr>
          <w:b/>
          <w:color w:val="555555"/>
          <w:sz w:val="15"/>
        </w:rPr>
        <w:t xml:space="preserve">Source: </w:t>
      </w:r>
      <w:r>
        <w:rPr>
          <w:color w:val="555555"/>
          <w:sz w:val="15"/>
        </w:rPr>
        <w:t xml:space="preserve">FEMA, </w:t>
      </w:r>
      <w:hyperlink r:id="rId11">
        <w:r>
          <w:rPr>
            <w:color w:val="1F4E99"/>
            <w:sz w:val="15"/>
            <w:u w:val="single"/>
          </w:rPr>
          <w:t>OpenFEMA HazardMitigationPlanStatuses v1</w:t>
        </w:r>
      </w:hyperlink>
      <w:r>
        <w:rPr>
          <w:color w:val="555555"/>
          <w:sz w:val="15"/>
        </w:rPr>
        <w:t xml:space="preserve">, version 2026-09-26T121003Z, pulled 2026-09-28, </w:t>
      </w:r>
      <w:hyperlink r:id="rId12">
        <w:r>
          <w:rPr>
            <w:color w:val="1F4E99"/>
            <w:sz w:val="15"/>
            <w:u w:val="single"/>
          </w:rPr>
          <w:t>https://www.fema.gov/api/open/v1/HazardMitigationPlanStatuses</w:t>
        </w:r>
      </w:hyperlink>
      <w:r>
        <w:rPr>
          <w:color w:val="555555"/>
          <w:sz w:val="15"/>
        </w:rPr>
        <w:t xml:space="preserve"> (API)</w:t>
      </w:r>
    </w:p>
    <w:p>
      <w:pPr>
        <w:spacing w:after="80" w:before="0"/>
      </w:pPr>
    </w:p>
    <w:p>
      <w:pPr>
        <w:spacing w:after="60" w:before="0"/>
      </w:pPr>
      <w:r>
        <w:rPr>
          <w:color w:val="555555"/>
          <w:sz w:val="17"/>
        </w:rPr>
        <w:t>FMA RL and FMA SRL are the Flood Mitigation Assistance definitions (44 CFR 77.2), the ones the FEMA Local Mitigation Planning Policy Guide cites; OpenFEMA's fmaRl field description omits the Increased Cost of Compliance clause of 44 CFR 77.2(i). NFIP repetitive loss (FEMA insurance definition, nfipRl) is 2 or more claims over $1,000 in 10 years and can drop to false when a property is mitigated. Also shown: NFIP severe repetitive loss, any category, mitigated and currently insured.</w:t>
      </w:r>
    </w:p>
    <w:p>
      <w:pPr>
        <w:spacing w:after="60" w:before="0"/>
      </w:pPr>
      <w:r>
        <w:rPr>
          <w:color w:val="555555"/>
          <w:sz w:val="17"/>
        </w:rPr>
        <w:t>Your state NFIP coordinator's list may use the NFIP insurance definition, so its counts can be higher.</w:t>
      </w:r>
    </w:p>
    <w:p>
      <w:pPr>
        <w:spacing w:after="60" w:before="0"/>
      </w:pPr>
      <w:r>
        <w:rPr>
          <w:color w:val="555555"/>
          <w:sz w:val="17"/>
        </w:rPr>
        <w:t>Counts are aggregates of FEMA's public NFIP Multiple Loss Properties file (as of 2026-08-02). No property is identified. County assignment is FEMA's geocode.</w:t>
      </w:r>
    </w:p>
    <w:p>
      <w:pPr>
        <w:spacing w:after="60" w:before="0"/>
      </w:pPr>
      <w:r>
        <w:rPr>
          <w:color w:val="555555"/>
          <w:sz w:val="17"/>
        </w:rPr>
        <w:t>Counts may differ from your state NFIP coordinator's list, which is the source the Handbook names.</w:t>
      </w:r>
    </w:p>
    <w:p>
      <w:pPr>
        <w:spacing w:after="60" w:before="0"/>
      </w:pPr>
      <w:r>
        <w:rPr>
          <w:color w:val="555555"/>
          <w:sz w:val="17"/>
        </w:rPr>
        <w:t>In this county 0 properties are FMA repetitive loss but not NFIP repetitive loss, and 6 properties are NFIP repetitive loss but not FMA repetitive loss.</w:t>
      </w:r>
    </w:p>
    <w:p>
      <w:pPr>
        <w:spacing w:after="60" w:before="0"/>
      </w:pPr>
      <w:r>
        <w:rPr>
          <w:color w:val="555555"/>
          <w:sz w:val="17"/>
        </w:rPr>
        <w:t>Exact counts; no count suppression.</w:t>
      </w:r>
    </w:p>
    <w:p>
      <w:pPr>
        <w:pStyle w:val="Heading2"/>
        <w:keepNext/>
        <w:spacing w:after="80"/>
      </w:pPr>
      <w:r>
        <w:rPr/>
        <w:t>About this packet</w:t>
      </w:r>
    </w:p>
    <w:p>
      <w:pPr>
        <w:spacing w:after="80" w:before="0"/>
      </w:pPr>
      <w:r>
        <w:rPr>
          <w:sz w:val="18"/>
        </w:rPr>
        <w:t>Hazard Plain is an independent product built from public federal data. It is not a FEMA document and is not reviewed or endorsed by FEMA or any state agency.</w:t>
      </w:r>
    </w:p>
    <w:p>
      <w:pPr>
        <w:spacing w:after="80" w:before="0"/>
      </w:pPr>
      <w:r>
        <w:rPr>
          <w:sz w:val="18"/>
        </w:rPr>
        <w:t>A starting point for the plan's risk assessment (FEMA Local Mitigation Plan Review Tool, Element B). It does not replace local data or FEMA review.</w:t>
      </w:r>
    </w:p>
    <w:p>
      <w:pPr>
        <w:spacing w:after="80" w:before="0"/>
      </w:pPr>
      <w:r>
        <w:rPr>
          <w:sz w:val="18"/>
        </w:rPr>
        <w:t>Section headings say which FEMA review item each table supports; whether an item is satisfied is decided by the plan and its reviewers.</w:t>
      </w:r>
    </w:p>
    <w:p>
      <w:pPr>
        <w:pStyle w:val="Heading3"/>
        <w:keepNext/>
        <w:spacing w:after="80"/>
      </w:pPr>
      <w:r>
        <w:rPr/>
        <w:t>OpenFEMA disclaimer</w:t>
      </w:r>
    </w:p>
    <w:p>
      <w:pPr>
        <w:spacing w:after="80" w:before="0"/>
      </w:pPr>
      <w:r>
        <w:rPr>
          <w:sz w:val="17"/>
        </w:rPr>
        <w:t>This product uses the Federal Emergency Management Agency's OpenFEMA API, but is not endorsed by FEMA. The Federal Government or FEMA cannot vouch for the data or analyses derived from these data after the data have been retrieved from the Agency's website(s).</w:t>
      </w:r>
    </w:p>
    <w:p>
      <w:pPr>
        <w:pStyle w:val="Heading3"/>
        <w:keepNext/>
        <w:spacing w:after="80"/>
      </w:pPr>
      <w:r>
        <w:rPr/>
        <w:t>Reuse, citation and corrections</w:t>
      </w:r>
    </w:p>
    <w:p>
      <w:pPr>
        <w:spacing w:after="40" w:before="0"/>
      </w:pPr>
      <w:r>
        <w:rPr>
          <w:sz w:val="17"/>
        </w:rPr>
        <w:t xml:space="preserve">Reuse and citation: Hazard Plain text and tables are licensed under Creative Commons Attribution 4.0 International (CC BY 4.0, </w:t>
      </w:r>
      <w:hyperlink r:id="rId24">
        <w:r>
          <w:rPr>
            <w:color w:val="1F4E99"/>
            <w:sz w:val="17"/>
            <w:u w:val="single"/>
          </w:rPr>
          <w:t>https://creativecommons.org/licenses/by/4.0/</w:t>
        </w:r>
      </w:hyperlink>
      <w:r>
        <w:rPr>
          <w:sz w:val="17"/>
        </w:rPr>
        <w:t>); credit Hazard Plain and the release. The underlying federal data are public domain; OpenFEMA data are also subject to the OpenFEMA terms and conditions.</w:t>
      </w:r>
    </w:p>
    <w:p>
      <w:pPr>
        <w:spacing w:after="40" w:before="0"/>
      </w:pPr>
      <w:r>
        <w:rPr>
          <w:sz w:val="17"/>
        </w:rPr>
        <w:t>Cite this: Hazard Plain (2026). Warrick County, IN: risk-assessment baseline packet, release 2026-10 (data as of 2026-09-28; County area 18173). Preview: automated baseline. Built from FEMA OpenFEMA, the FEMA National Risk Index and NOAA NCEI Storm Events; source versions in the packet's Sources list.</w:t>
      </w:r>
    </w:p>
    <w:p>
      <w:pPr>
        <w:spacing w:after="40" w:before="0"/>
      </w:pPr>
      <w:r>
        <w:rPr>
          <w:sz w:val="17"/>
        </w:rPr>
        <w:t>Corrections: to report an error, name the packet, the table and what your records show. Contact: to be added</w:t>
      </w:r>
    </w:p>
    <w:p>
      <w:pPr>
        <w:pStyle w:val="Heading3"/>
        <w:keepNext/>
        <w:spacing w:after="80"/>
      </w:pPr>
      <w:r>
        <w:rPr/>
        <w:t>Sources</w:t>
      </w:r>
    </w:p>
    <w:p>
      <w:pPr>
        <w:spacing w:after="40" w:before="0"/>
      </w:pPr>
      <w:r>
        <w:rPr>
          <w:sz w:val="17"/>
        </w:rPr>
        <w:t xml:space="preserve">FEMA, </w:t>
      </w:r>
      <w:hyperlink r:id="rId11">
        <w:r>
          <w:rPr>
            <w:color w:val="1F4E99"/>
            <w:sz w:val="17"/>
            <w:u w:val="single"/>
          </w:rPr>
          <w:t>OpenFEMA HazardMitigationPlanStatuses v1</w:t>
        </w:r>
      </w:hyperlink>
      <w:r>
        <w:rPr>
          <w:sz w:val="17"/>
        </w:rPr>
        <w:t xml:space="preserve">, version 2026-09-26T121003Z, pulled 2026-09-28, </w:t>
      </w:r>
      <w:hyperlink r:id="rId12">
        <w:r>
          <w:rPr>
            <w:color w:val="1F4E99"/>
            <w:sz w:val="17"/>
            <w:u w:val="single"/>
          </w:rPr>
          <w:t>https://www.fema.gov/api/open/v1/HazardMitigationPlanStatuses</w:t>
        </w:r>
      </w:hyperlink>
      <w:r>
        <w:rPr>
          <w:sz w:val="17"/>
        </w:rPr>
        <w:t xml:space="preserve"> (API)</w:t>
      </w:r>
    </w:p>
    <w:p>
      <w:pPr>
        <w:spacing w:after="40" w:before="0"/>
      </w:pPr>
      <w:r>
        <w:rPr>
          <w:sz w:val="17"/>
        </w:rPr>
        <w:t xml:space="preserve">FEMA, </w:t>
      </w:r>
      <w:hyperlink r:id="rId18">
        <w:r>
          <w:rPr>
            <w:color w:val="1F4E99"/>
            <w:sz w:val="17"/>
            <w:u w:val="single"/>
          </w:rPr>
          <w:t>OpenFEMA DisasterDeclarationsSummaries v2</w:t>
        </w:r>
      </w:hyperlink>
      <w:r>
        <w:rPr>
          <w:sz w:val="17"/>
        </w:rPr>
        <w:t xml:space="preserve">, version 2026-09-27T010817Z, pulled 2026-09-28, </w:t>
      </w:r>
      <w:hyperlink r:id="rId19">
        <w:r>
          <w:rPr>
            <w:color w:val="1F4E99"/>
            <w:sz w:val="17"/>
            <w:u w:val="single"/>
          </w:rPr>
          <w:t>https://www.fema.gov/api/open/v2/DisasterDeclarationsSummaries</w:t>
        </w:r>
      </w:hyperlink>
      <w:r>
        <w:rPr>
          <w:sz w:val="17"/>
        </w:rPr>
        <w:t xml:space="preserve"> (API)</w:t>
      </w:r>
    </w:p>
    <w:p>
      <w:pPr>
        <w:spacing w:after="40" w:before="0"/>
      </w:pPr>
      <w:r>
        <w:rPr>
          <w:sz w:val="17"/>
        </w:rPr>
        <w:t xml:space="preserve">FEMA, </w:t>
      </w:r>
      <w:hyperlink r:id="rId20">
        <w:r>
          <w:rPr>
            <w:color w:val="1F4E99"/>
            <w:sz w:val="17"/>
            <w:u w:val="single"/>
          </w:rPr>
          <w:t>OpenFEMA PublicAssistanceFundedProjectsSummaries v1</w:t>
        </w:r>
      </w:hyperlink>
      <w:r>
        <w:rPr>
          <w:sz w:val="17"/>
        </w:rPr>
        <w:t xml:space="preserve">, version 2026-09-26T151157Z, pulled 2026-09-28, </w:t>
      </w:r>
      <w:hyperlink r:id="rId21">
        <w:r>
          <w:rPr>
            <w:color w:val="1F4E99"/>
            <w:sz w:val="17"/>
            <w:u w:val="single"/>
          </w:rPr>
          <w:t>https://www.fema.gov/api/open/v1/PublicAssistanceFundedProjectsSummaries</w:t>
        </w:r>
      </w:hyperlink>
      <w:r>
        <w:rPr>
          <w:sz w:val="17"/>
        </w:rPr>
        <w:t xml:space="preserve"> (API)</w:t>
      </w:r>
    </w:p>
    <w:p>
      <w:pPr>
        <w:spacing w:after="40" w:before="0"/>
      </w:pPr>
      <w:r>
        <w:rPr>
          <w:sz w:val="17"/>
        </w:rPr>
        <w:t xml:space="preserve">FEMA, </w:t>
      </w:r>
      <w:hyperlink r:id="rId22">
        <w:r>
          <w:rPr>
            <w:color w:val="1F4E99"/>
            <w:sz w:val="17"/>
            <w:u w:val="single"/>
          </w:rPr>
          <w:t>OpenFEMA NfipMultipleLossProperties v1</w:t>
        </w:r>
      </w:hyperlink>
      <w:r>
        <w:rPr>
          <w:sz w:val="17"/>
        </w:rPr>
        <w:t xml:space="preserve">, version 2026-08-04T164045Z, pulled 2026-09-28, </w:t>
      </w:r>
      <w:hyperlink r:id="rId23">
        <w:r>
          <w:rPr>
            <w:color w:val="1F4E99"/>
            <w:sz w:val="17"/>
            <w:u w:val="single"/>
          </w:rPr>
          <w:t>https://www.fema.gov/api/open/v1/NfipMultipleLossProperties</w:t>
        </w:r>
      </w:hyperlink>
      <w:r>
        <w:rPr>
          <w:sz w:val="17"/>
        </w:rPr>
        <w:t xml:space="preserve"> (API)</w:t>
      </w:r>
    </w:p>
    <w:p>
      <w:pPr>
        <w:spacing w:after="40" w:before="0"/>
      </w:pPr>
      <w:r>
        <w:rPr>
          <w:sz w:val="17"/>
        </w:rPr>
        <w:t xml:space="preserve">FEMA, FEMA National Risk Index 1.20.0 (December 2025), county and census tract tables, version 1.20.0, pulled 2026-09-28, </w:t>
      </w:r>
      <w:hyperlink r:id="rId13">
        <w:r>
          <w:rPr>
            <w:color w:val="1F4E99"/>
            <w:sz w:val="17"/>
            <w:u w:val="single"/>
          </w:rPr>
          <w:t>https://www.fema.gov/about/reports-and-data/openfema/nri/v120/NRI_Table_Counties.zip</w:t>
        </w:r>
      </w:hyperlink>
      <w:r>
        <w:rPr>
          <w:sz w:val="17"/>
        </w:rPr>
        <w:t xml:space="preserve"> (download, 25 MB)</w:t>
      </w:r>
      <w:r>
        <w:rPr>
          <w:sz w:val="17"/>
        </w:rPr>
        <w:t xml:space="preserve">, </w:t>
      </w:r>
      <w:hyperlink r:id="rId14">
        <w:r>
          <w:rPr>
            <w:color w:val="1F4E99"/>
            <w:sz w:val="17"/>
            <w:u w:val="single"/>
          </w:rPr>
          <w:t>https://www.fema.gov/about/reports-and-data/openfema/nri/v120/NRI_Table_CensusTracts.zip</w:t>
        </w:r>
      </w:hyperlink>
      <w:r>
        <w:rPr>
          <w:sz w:val="17"/>
        </w:rPr>
        <w:t xml:space="preserve"> (download, 635 MB)</w:t>
      </w:r>
    </w:p>
    <w:p>
      <w:pPr>
        <w:spacing w:after="40" w:before="0"/>
      </w:pPr>
      <w:r>
        <w:rPr>
          <w:sz w:val="17"/>
        </w:rPr>
        <w:t xml:space="preserve">NOAA NCEI, NOAA NCEI Storm Events Database, details files (csvfiles v1.0), version c20260918, pulled 2026-09-28, </w:t>
      </w:r>
      <w:hyperlink r:id="rId15">
        <w:r>
          <w:rPr>
            <w:color w:val="1F4E99"/>
            <w:sz w:val="17"/>
            <w:u w:val="single"/>
          </w:rPr>
          <w:t>https://www.ncei.noaa.gov/pub/data/swdi/stormevents/csvfiles/</w:t>
        </w:r>
      </w:hyperlink>
    </w:p>
    <w:p>
      <w:pPr>
        <w:spacing w:after="40" w:before="0"/>
      </w:pPr>
      <w:r>
        <w:rPr>
          <w:sz w:val="17"/>
        </w:rPr>
        <w:t xml:space="preserve">NOAA National Weather Service, NWS county-public forecast zones correlation file, version bp03mr20 to bp16ap26 (11 files; newest bp16ap26), pulled 2026-09-28, </w:t>
      </w:r>
      <w:hyperlink r:id="rId17">
        <w:r>
          <w:rPr>
            <w:color w:val="1F4E99"/>
            <w:sz w:val="17"/>
            <w:u w:val="single"/>
          </w:rPr>
          <w:t>https://www.weather.gov/gis/ZoneCounty</w:t>
        </w:r>
      </w:hyperlink>
    </w:p>
    <w:p>
      <w:pPr>
        <w:spacing w:after="40" w:before="0"/>
      </w:pPr>
      <w:r>
        <w:rPr>
          <w:sz w:val="17"/>
        </w:rPr>
        <w:t xml:space="preserve">U.S. Census Bureau, Census 2024 Gazetteer, 2020 place by county, CT county-to-cousub crosswalk, version 2024-gazetteer, pulled 2026-09-28, </w:t>
      </w:r>
      <w:hyperlink r:id="rId25">
        <w:r>
          <w:rPr>
            <w:color w:val="1F4E99"/>
            <w:sz w:val="17"/>
            <w:u w:val="single"/>
          </w:rPr>
          <w:t>https://www2.census.gov/geo/docs/maps-data/data/gazetteer/2024_Gazetteer/2024_Gaz_counties_national.zip</w:t>
        </w:r>
      </w:hyperlink>
      <w:r>
        <w:rPr>
          <w:sz w:val="17"/>
        </w:rPr>
        <w:t xml:space="preserve">, </w:t>
      </w:r>
      <w:hyperlink r:id="rId26">
        <w:r>
          <w:rPr>
            <w:color w:val="1F4E99"/>
            <w:sz w:val="17"/>
            <w:u w:val="single"/>
          </w:rPr>
          <w:t>https://www2.census.gov/geo/docs/maps-data/data/gazetteer/2024_Gazetteer/2024_Gaz_cousubs_national.zip</w:t>
        </w:r>
      </w:hyperlink>
      <w:r>
        <w:rPr>
          <w:sz w:val="17"/>
        </w:rPr>
        <w:t xml:space="preserve">, </w:t>
      </w:r>
      <w:hyperlink r:id="rId27">
        <w:r>
          <w:rPr>
            <w:color w:val="1F4E99"/>
            <w:sz w:val="17"/>
            <w:u w:val="single"/>
          </w:rPr>
          <w:t>https://www2.census.gov/geo/docs/maps-data/data/gazetteer/2024_Gazetteer/2024_Gaz_place_national.zip</w:t>
        </w:r>
      </w:hyperlink>
      <w:r>
        <w:rPr>
          <w:sz w:val="17"/>
        </w:rPr>
        <w:t xml:space="preserve">, </w:t>
      </w:r>
      <w:hyperlink r:id="rId28">
        <w:r>
          <w:rPr>
            <w:color w:val="1F4E99"/>
            <w:sz w:val="17"/>
            <w:u w:val="single"/>
          </w:rPr>
          <w:t>https://www2.census.gov/geo/docs/maps-data/data/gazetteer/2024_Gazetteer/2024_Gaz_unsd_national.zip</w:t>
        </w:r>
      </w:hyperlink>
      <w:r>
        <w:rPr>
          <w:sz w:val="17"/>
        </w:rPr>
        <w:t xml:space="preserve">, </w:t>
      </w:r>
      <w:hyperlink r:id="rId29">
        <w:r>
          <w:rPr>
            <w:color w:val="1F4E99"/>
            <w:sz w:val="17"/>
            <w:u w:val="single"/>
          </w:rPr>
          <w:t>https://www2.census.gov/geo/docs/maps-data/data/gazetteer/2024_Gazetteer/2024_Gaz_elsd_national.zip</w:t>
        </w:r>
      </w:hyperlink>
      <w:r>
        <w:rPr>
          <w:sz w:val="17"/>
        </w:rPr>
        <w:t xml:space="preserve">, </w:t>
      </w:r>
      <w:hyperlink r:id="rId30">
        <w:r>
          <w:rPr>
            <w:color w:val="1F4E99"/>
            <w:sz w:val="17"/>
            <w:u w:val="single"/>
          </w:rPr>
          <w:t>https://www2.census.gov/geo/docs/maps-data/data/gazetteer/2024_Gazetteer/2024_Gaz_scsd_national.zip</w:t>
        </w:r>
      </w:hyperlink>
      <w:r>
        <w:rPr>
          <w:sz w:val="17"/>
        </w:rPr>
        <w:t xml:space="preserve">, </w:t>
      </w:r>
      <w:hyperlink r:id="rId31">
        <w:r>
          <w:rPr>
            <w:color w:val="1F4E99"/>
            <w:sz w:val="17"/>
            <w:u w:val="single"/>
          </w:rPr>
          <w:t>https://www2.census.gov/geo/docs/reference/codes2020/national_place_by_county2020.txt</w:t>
        </w:r>
      </w:hyperlink>
      <w:r>
        <w:rPr>
          <w:sz w:val="17"/>
        </w:rPr>
        <w:t xml:space="preserve">, </w:t>
      </w:r>
      <w:hyperlink r:id="rId32">
        <w:r>
          <w:rPr>
            <w:color w:val="1F4E99"/>
            <w:sz w:val="17"/>
            <w:u w:val="single"/>
          </w:rPr>
          <w:t>https://www2.census.gov/geo/docs/reference/ct_change/ct_cou_to_cousub_crosswalk.xlsx</w:t>
        </w:r>
      </w:hyperlink>
    </w:p>
    <w:sectPr w:rsidR="00FC693F" w:rsidRPr="0006063C" w:rsidSect="00034616">
      <w:pgSz w:w="15840" w:h="12240" w:orient="landscape"/>
      <w:pgMar w:top="864" w:right="864" w:bottom="864" w:left="864" w:header="432" w:footer="432" w:gutter="0"/>
      <w:cols w:space="720"/>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Symbol">
    <w:panose1 w:val="00000000000000000000"/>
    <w:charset w:val="02"/>
    <w:family w:val="auto"/>
    <w:pitch w:val="variable"/>
    <w:sig w:usb0="00000000" w:usb1="10000000" w:usb2="00000000" w:usb3="00000000" w:csb0="80000000" w:csb1="00000000"/>
  </w:font>
  <w:font w:name="Times New Roman">
    <w:panose1 w:val="02020603050405020304"/>
    <w:charset w:val="00"/>
    <w:family w:val="auto"/>
    <w:pitch w:val="variable"/>
    <w:sig w:usb0="E0002AFF" w:usb1="C0007841" w:usb2="00000009" w:usb3="00000000" w:csb0="000001FF" w:csb1="00000000"/>
  </w:font>
  <w:font w:name="Cambria">
    <w:panose1 w:val="02040503050406030204"/>
    <w:charset w:val="00"/>
    <w:family w:val="auto"/>
    <w:pitch w:val="variable"/>
    <w:sig w:usb0="E00002FF" w:usb1="400004FF" w:usb2="00000000" w:usb3="00000000" w:csb0="0000019F" w:csb1="00000000"/>
  </w:font>
  <w:font w:name="ＭＳ 明朝">
    <w:panose1 w:val="00000000000000000000"/>
    <w:charset w:val="80"/>
    <w:family w:val="roman"/>
    <w:notTrueType/>
    <w:pitch w:val="fixed"/>
    <w:sig w:usb0="00000001" w:usb1="08070000" w:usb2="00000010" w:usb3="00000000" w:csb0="00020000" w:csb1="00000000"/>
  </w:font>
  <w:font w:name="Calibri">
    <w:panose1 w:val="020F0502020204030204"/>
    <w:charset w:val="00"/>
    <w:family w:val="auto"/>
    <w:pitch w:val="variable"/>
    <w:sig w:usb0="E10002FF" w:usb1="4000ACFF" w:usb2="00000009" w:usb3="00000000" w:csb0="0000019F" w:csb1="00000000"/>
  </w:font>
  <w:font w:name="ＭＳ ゴシック">
    <w:panose1 w:val="00000000000000000000"/>
    <w:charset w:val="80"/>
    <w:family w:val="modern"/>
    <w:notTrueType/>
    <w:pitch w:val="fixed"/>
    <w:sig w:usb0="00000001" w:usb1="08070000" w:usb2="00000010" w:usb3="00000000" w:csb0="00020000" w:csb1="00000000"/>
  </w:font>
  <w:font w:name="Courier">
    <w:panose1 w:val="02000500000000000000"/>
    <w:charset w:val="00"/>
    <w:family w:val="auto"/>
    <w:pitch w:val="variable"/>
    <w:sig w:usb0="00000003" w:usb1="00000000" w:usb2="00000000" w:usb3="00000000" w:csb0="00000001" w:csb1="00000000"/>
  </w:font>
  <w:font w:name="Arial">
    <w:panose1 w:val="020B0604020202020204"/>
    <w:charset w:val="00"/>
    <w:family w:val="auto"/>
    <w:pitch w:val="variable"/>
    <w:sig w:usb0="E0002AFF" w:usb1="C0007843" w:usb2="00000009" w:usb3="00000000" w:csb0="000001FF" w:csb1="00000000"/>
  </w:font>
</w:fonts>
</file>

<file path=word/footer1.xml><?xml version="1.0" encoding="utf-8"?>
<w:ftr xmlns:m="http://schemas.openxmlformats.org/officeDocument/2006/math" xmlns:mc="http://schemas.openxmlformats.org/markup-compatibility/2006" xmlns:mo="http://schemas.microsoft.com/office/mac/office/2008/main" xmlns:mv="urn:schemas-microsoft-com:mac:vml" xmlns:o="urn:schemas-microsoft-com:office:office" xmlns:r="http://schemas.openxmlformats.org/officeDocument/2006/relationships" xmlns:v="urn:schemas-microsoft-com:vml" xmlns:w10="urn:schemas-microsoft-com:office:word" xmlns:w14="http://schemas.microsoft.com/office/word/2010/wordml" xmlns:w="http://schemas.openxmlformats.org/wordprocessingml/2006/main" xmlns:wne="http://schemas.microsoft.com/office/word/2006/wordml" xmlns:wp14="http://schemas.microsoft.com/office/word/2010/wordprocessingDrawing" xmlns:wp="http://schemas.openxmlformats.org/drawingml/2006/wordprocessingDrawing" xmlns:wpc="http://schemas.microsoft.com/office/word/2010/wordprocessingCanvas" xmlns:wpg="http://schemas.microsoft.com/office/word/2010/wordprocessingGroup" xmlns:wpi="http://schemas.microsoft.com/office/word/2010/wordprocessingInk" xmlns:wps="http://schemas.microsoft.com/office/word/2010/wordprocessingShape" mc:Ignorable="w14 wp14">
  <w:p>
    <w:pPr>
      <w:pStyle w:val="Footer"/>
    </w:pPr>
    <w:r>
      <w:rPr>
        <w:color w:val="555555"/>
        <w:sz w:val="15"/>
      </w:rPr>
      <w:t xml:space="preserve">Page </w:t>
    </w:r>
    <w:r>
      <w:rPr>
        <w:color w:val="555555"/>
        <w:sz w:val="15"/>
      </w:rPr>
      <w:fldChar w:fldCharType="begin"/>
    </w:r>
    <w:r>
      <w:rPr>
        <w:color w:val="555555"/>
        <w:sz w:val="15"/>
      </w:rPr>
      <w:instrText xml:space="preserve"> PAGE </w:instrText>
    </w:r>
    <w:r>
      <w:rPr>
        <w:color w:val="555555"/>
        <w:sz w:val="15"/>
      </w:rPr>
      <w:fldChar w:fldCharType="separate"/>
    </w:r>
    <w:r>
      <w:rPr>
        <w:color w:val="555555"/>
        <w:sz w:val="15"/>
      </w:rPr>
      <w:t>1</w:t>
    </w:r>
    <w:r>
      <w:rPr>
        <w:color w:val="555555"/>
        <w:sz w:val="15"/>
      </w:rPr>
      <w:fldChar w:fldCharType="end"/>
    </w:r>
    <w:r>
      <w:rPr>
        <w:color w:val="555555"/>
        <w:sz w:val="15"/>
      </w:rPr>
      <w:t xml:space="preserve"> of </w:t>
    </w:r>
    <w:r>
      <w:rPr>
        <w:color w:val="555555"/>
        <w:sz w:val="15"/>
      </w:rPr>
      <w:fldChar w:fldCharType="begin"/>
    </w:r>
    <w:r>
      <w:rPr>
        <w:color w:val="555555"/>
        <w:sz w:val="15"/>
      </w:rPr>
      <w:instrText xml:space="preserve"> NUMPAGES </w:instrText>
    </w:r>
    <w:r>
      <w:rPr>
        <w:color w:val="555555"/>
        <w:sz w:val="15"/>
      </w:rPr>
      <w:fldChar w:fldCharType="separate"/>
    </w:r>
    <w:r>
      <w:rPr>
        <w:color w:val="555555"/>
        <w:sz w:val="15"/>
      </w:rPr>
      <w:t>1</w:t>
    </w:r>
    <w:r>
      <w:rPr>
        <w:color w:val="555555"/>
        <w:sz w:val="15"/>
      </w:rPr>
      <w:fldChar w:fldCharType="end"/>
    </w:r>
    <w:r>
      <w:rPr>
        <w:color w:val="555555"/>
        <w:sz w:val="15"/>
      </w:rPr>
      <w:t xml:space="preserve"> | hazard-plain_2026-10_IN_18173.docx</w:t>
    </w:r>
  </w:p>
</w:ftr>
</file>

<file path=word/header1.xml><?xml version="1.0" encoding="utf-8"?>
<w:hdr xmlns:m="http://schemas.openxmlformats.org/officeDocument/2006/math" xmlns:mc="http://schemas.openxmlformats.org/markup-compatibility/2006" xmlns:mo="http://schemas.microsoft.com/office/mac/office/2008/main" xmlns:mv="urn:schemas-microsoft-com:mac:vml" xmlns:o="urn:schemas-microsoft-com:office:office" xmlns:r="http://schemas.openxmlformats.org/officeDocument/2006/relationships" xmlns:v="urn:schemas-microsoft-com:vml" xmlns:w10="urn:schemas-microsoft-com:office:word" xmlns:w14="http://schemas.microsoft.com/office/word/2010/wordml" xmlns:w="http://schemas.openxmlformats.org/wordprocessingml/2006/main" xmlns:wne="http://schemas.microsoft.com/office/word/2006/wordml" xmlns:wp14="http://schemas.microsoft.com/office/word/2010/wordprocessingDrawing" xmlns:wp="http://schemas.openxmlformats.org/drawingml/2006/wordprocessingDrawing" xmlns:wpc="http://schemas.microsoft.com/office/word/2010/wordprocessingCanvas" xmlns:wpg="http://schemas.microsoft.com/office/word/2010/wordprocessingGroup" xmlns:wpi="http://schemas.microsoft.com/office/word/2010/wordprocessingInk" xmlns:wps="http://schemas.microsoft.com/office/word/2010/wordprocessingShape" mc:Ignorable="w14 wp14">
  <w:p>
    <w:pPr>
      <w:pStyle w:val="Header"/>
    </w:pPr>
    <w:r>
      <w:rPr>
        <w:color w:val="555555"/>
        <w:sz w:val="15"/>
      </w:rPr>
      <w:t>Hazard Plain | Warrick County, IN | Risk-assessment baseline packet | release 2026-10, as of 2026-09-28</w:t>
    </w:r>
  </w:p>
  <w:p>
    <w:r>
      <w:rPr>
        <w:b/>
        <w:color w:val="555555"/>
        <w:sz w:val="15"/>
      </w:rPr>
      <w:t>Preview: automated baseline</w:t>
    </w:r>
    <w:r>
      <w:rPr>
        <w:color w:val="555555"/>
        <w:sz w:val="15"/>
      </w:rPr>
      <w:t>. Hazard Plain is an independent product built from public federal data. It is not a FEMA document and is not reviewed or endorsed by FEMA or any state agency.</w:t>
    </w:r>
  </w:p>
</w:hdr>
</file>

<file path=word/numbering.xml><?xml version="1.0" encoding="utf-8"?>
<w:numbering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abstractNum w:abstractNumId="0">
    <w:nsid w:val="FFFFFF7C"/>
    <w:multiLevelType w:val="singleLevel"/>
    <w:tmpl w:val="C310EC42"/>
    <w:lvl w:ilvl="0">
      <w:start w:val="1"/>
      <w:numFmt w:val="decimal"/>
      <w:lvlText w:val="%1."/>
      <w:lvlJc w:val="left"/>
      <w:pPr>
        <w:tabs>
          <w:tab w:val="num" w:pos="1800"/>
        </w:tabs>
        <w:ind w:left="1800" w:hanging="360"/>
      </w:pPr>
    </w:lvl>
  </w:abstractNum>
  <w:abstractNum w:abstractNumId="1">
    <w:nsid w:val="FFFFFF7D"/>
    <w:multiLevelType w:val="singleLevel"/>
    <w:tmpl w:val="E4089024"/>
    <w:lvl w:ilvl="0">
      <w:start w:val="1"/>
      <w:numFmt w:val="decimal"/>
      <w:lvlText w:val="%1."/>
      <w:lvlJc w:val="left"/>
      <w:pPr>
        <w:tabs>
          <w:tab w:val="num" w:pos="1440"/>
        </w:tabs>
        <w:ind w:left="1440" w:hanging="360"/>
      </w:pPr>
    </w:lvl>
  </w:abstractNum>
  <w:abstractNum w:abstractNumId="2">
    <w:nsid w:val="FFFFFF7E"/>
    <w:multiLevelType w:val="singleLevel"/>
    <w:tmpl w:val="FB12693A"/>
    <w:lvl w:ilvl="0">
      <w:start w:val="1"/>
      <w:numFmt w:val="decimal"/>
      <w:pStyle w:val="ListNumber3"/>
      <w:lvlText w:val="%1."/>
      <w:lvlJc w:val="left"/>
      <w:pPr>
        <w:tabs>
          <w:tab w:val="num" w:pos="1080"/>
        </w:tabs>
        <w:ind w:left="1080" w:hanging="360"/>
      </w:pPr>
    </w:lvl>
  </w:abstractNum>
  <w:abstractNum w:abstractNumId="3">
    <w:nsid w:val="FFFFFF7F"/>
    <w:multiLevelType w:val="singleLevel"/>
    <w:tmpl w:val="38441652"/>
    <w:lvl w:ilvl="0">
      <w:start w:val="1"/>
      <w:numFmt w:val="decimal"/>
      <w:pStyle w:val="ListNumber2"/>
      <w:lvlText w:val="%1."/>
      <w:lvlJc w:val="left"/>
      <w:pPr>
        <w:tabs>
          <w:tab w:val="num" w:pos="720"/>
        </w:tabs>
        <w:ind w:left="720" w:hanging="360"/>
      </w:pPr>
    </w:lvl>
  </w:abstractNum>
  <w:abstractNum w:abstractNumId="4">
    <w:nsid w:val="FFFFFF81"/>
    <w:multiLevelType w:val="singleLevel"/>
    <w:tmpl w:val="171AC3A4"/>
    <w:lvl w:ilvl="0">
      <w:start w:val="1"/>
      <w:numFmt w:val="bullet"/>
      <w:lvlText w:val=""/>
      <w:lvlJc w:val="left"/>
      <w:pPr>
        <w:tabs>
          <w:tab w:val="num" w:pos="1440"/>
        </w:tabs>
        <w:ind w:left="1440" w:hanging="360"/>
      </w:pPr>
      <w:rPr>
        <w:rFonts w:ascii="Symbol" w:hAnsi="Symbol" w:hint="default"/>
      </w:rPr>
    </w:lvl>
  </w:abstractNum>
  <w:abstractNum w:abstractNumId="5">
    <w:nsid w:val="FFFFFF82"/>
    <w:multiLevelType w:val="singleLevel"/>
    <w:tmpl w:val="F3EAFDEC"/>
    <w:lvl w:ilvl="0">
      <w:start w:val="1"/>
      <w:numFmt w:val="bullet"/>
      <w:pStyle w:val="ListBullet3"/>
      <w:lvlText w:val=""/>
      <w:lvlJc w:val="left"/>
      <w:pPr>
        <w:tabs>
          <w:tab w:val="num" w:pos="1080"/>
        </w:tabs>
        <w:ind w:left="1080" w:hanging="360"/>
      </w:pPr>
      <w:rPr>
        <w:rFonts w:ascii="Symbol" w:hAnsi="Symbol" w:hint="default"/>
      </w:rPr>
    </w:lvl>
  </w:abstractNum>
  <w:abstractNum w:abstractNumId="6">
    <w:nsid w:val="FFFFFF83"/>
    <w:multiLevelType w:val="singleLevel"/>
    <w:tmpl w:val="3D1EFFD4"/>
    <w:lvl w:ilvl="0">
      <w:start w:val="1"/>
      <w:numFmt w:val="bullet"/>
      <w:pStyle w:val="ListBullet2"/>
      <w:lvlText w:val=""/>
      <w:lvlJc w:val="left"/>
      <w:pPr>
        <w:tabs>
          <w:tab w:val="num" w:pos="720"/>
        </w:tabs>
        <w:ind w:left="720" w:hanging="360"/>
      </w:pPr>
      <w:rPr>
        <w:rFonts w:ascii="Symbol" w:hAnsi="Symbol" w:hint="default"/>
      </w:rPr>
    </w:lvl>
  </w:abstractNum>
  <w:abstractNum w:abstractNumId="7">
    <w:nsid w:val="FFFFFF88"/>
    <w:multiLevelType w:val="singleLevel"/>
    <w:tmpl w:val="D0A62B40"/>
    <w:lvl w:ilvl="0">
      <w:start w:val="1"/>
      <w:numFmt w:val="decimal"/>
      <w:pStyle w:val="ListNumber"/>
      <w:lvlText w:val="%1."/>
      <w:lvlJc w:val="left"/>
      <w:pPr>
        <w:tabs>
          <w:tab w:val="num" w:pos="360"/>
        </w:tabs>
        <w:ind w:left="360" w:hanging="360"/>
      </w:pPr>
    </w:lvl>
  </w:abstractNum>
  <w:abstractNum w:abstractNumId="8">
    <w:nsid w:val="FFFFFF89"/>
    <w:multiLevelType w:val="singleLevel"/>
    <w:tmpl w:val="29761A62"/>
    <w:lvl w:ilvl="0">
      <w:start w:val="1"/>
      <w:numFmt w:val="bullet"/>
      <w:pStyle w:val="ListBullet"/>
      <w:lvlText w:val=""/>
      <w:lvlJc w:val="left"/>
      <w:pPr>
        <w:tabs>
          <w:tab w:val="num" w:pos="360"/>
        </w:tabs>
        <w:ind w:left="360" w:hanging="360"/>
      </w:pPr>
      <w:rPr>
        <w:rFonts w:ascii="Symbol" w:hAnsi="Symbol" w:hint="default"/>
      </w:rPr>
    </w:lvl>
  </w:abstractNum>
  <w:num w:numId="1">
    <w:abstractNumId w:val="8"/>
  </w:num>
  <w:num w:numId="2">
    <w:abstractNumId w:val="6"/>
  </w:num>
  <w:num w:numId="3">
    <w:abstractNumId w:val="5"/>
  </w:num>
  <w:num w:numId="4">
    <w:abstractNumId w:val="4"/>
  </w:num>
  <w:num w:numId="5">
    <w:abstractNumId w:val="7"/>
  </w:num>
  <w:num w:numId="6">
    <w:abstractNumId w:val="3"/>
  </w:num>
  <w:num w:numId="7">
    <w:abstractNumId w:val="2"/>
  </w:num>
  <w:num w:numId="8">
    <w:abstractNumId w:val="1"/>
  </w:num>
  <w:num w:numId="9">
    <w:abstractNumId w:val="0"/>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mc:Ignorable="w14">
  <w:zoom w:val="bestFit"/>
  <w:proofState w:spelling="clean" w:grammar="clean"/>
  <w:defaultTabStop w:val="720"/>
  <w:characterSpacingControl w:val="doNotCompress"/>
  <w:savePreviewPicture/>
  <w:compat>
    <w:useFELayou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rsids>
    <w:rsidRoot w:val="00B47730"/>
    <w:rsid w:val="00034616"/>
    <w:rsid w:val="0006063C"/>
    <w:rsid w:val="0015074B"/>
    <w:rsid w:val="0029639D"/>
    <w:rsid w:val="00326F90"/>
    <w:rsid w:val="00AA1D8D"/>
    <w:rsid w:val="00B47730"/>
    <w:rsid w:val="00CB0664"/>
    <w:rsid w:val="00FC693F"/>
  </w:rsids>
  <m:mathPr>
    <m:mathFont m:val="Cambria Math"/>
    <m:brkBin m:val="before"/>
    <m:brkBinSub m:val="--"/>
    <m:smallFrac m:val="0"/>
    <m:dispDef/>
    <m:lMargin m:val="0"/>
    <m:rMargin m:val="0"/>
    <m:defJc m:val="centerGroup"/>
    <m:wrapIndent m:val="1440"/>
    <m:intLim m:val="subSup"/>
    <m:naryLim m:val="undOvr"/>
  </m:mathPr>
  <w:themeFontLang w:val="en-US" w:eastAsia="ja-JP"/>
  <w:clrSchemeMapping w:bg1="light1" w:t1="dark1" w:bg2="light2" w:t2="dark2" w:accent1="accent1" w:accent2="accent2" w:accent3="accent3" w:accent4="accent4" w:accent5="accent5" w:accent6="accent6" w:hyperlink="hyperlink" w:followedHyperlink="followedHyperlink"/>
  <w:doNotAutoCompressPictures/>
  <w:shapeDefaults>
    <o:shapedefaults v:ext="edit" spidmax="1027"/>
    <o:shapelayout v:ext="edit">
      <o:idmap v:ext="edit" data="1"/>
    </o:shapelayout>
  </w:shapeDefaults>
  <w:decimalSymbol w:val="."/>
  <w:listSeparator w:val=","/>
  <w14:docId w14:val="24062061"/>
  <w14:defaultImageDpi w14:val="300"/>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mc:Ignorable="w14">
  <w:docDefaults>
    <w:rPrDefault>
      <w:rPr>
        <w:rFonts w:asciiTheme="minorHAnsi" w:eastAsiaTheme="minorEastAsia"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76">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FC693F"/>
    <w:pPr>
      <w:spacing w:after="80"/>
    </w:pPr>
    <w:rPr>
      <w:rFonts w:ascii="Calibri" w:hAnsi="Calibri" w:cs="Calibri" w:eastAsia="Calibri"/>
      <w:color w:val="1A1A1A"/>
      <w:sz w:val="20"/>
      <w:lang w:val="en-US"/>
    </w:rPr>
  </w:style>
  <w:style w:type="paragraph" w:styleId="Header">
    <w:name w:val="header"/>
    <w:basedOn w:val="Normal"/>
    <w:link w:val="HeaderChar"/>
    <w:uiPriority w:val="99"/>
    <w:unhideWhenUsed/>
    <w:rsid w:val="00E618BF"/>
    <w:pPr>
      <w:tabs>
        <w:tab w:val="center" w:pos="4680"/>
        <w:tab w:val="right" w:pos="9360"/>
      </w:tabs>
      <w:spacing w:after="0" w:line="240" w:lineRule="auto"/>
    </w:pPr>
  </w:style>
  <w:style w:type="character" w:customStyle="1" w:styleId="HeaderChar">
    <w:name w:val="Header Char"/>
    <w:basedOn w:val="DefaultParagraphFont"/>
    <w:link w:val="Header"/>
    <w:uiPriority w:val="99"/>
    <w:rsid w:val="00E618BF"/>
  </w:style>
  <w:style w:type="paragraph" w:styleId="Footer">
    <w:name w:val="footer"/>
    <w:basedOn w:val="Normal"/>
    <w:link w:val="FooterChar"/>
    <w:uiPriority w:val="99"/>
    <w:unhideWhenUsed/>
    <w:rsid w:val="00E618BF"/>
    <w:pPr>
      <w:tabs>
        <w:tab w:val="center" w:pos="4680"/>
        <w:tab w:val="right" w:pos="9360"/>
      </w:tabs>
      <w:spacing w:after="0" w:line="240" w:lineRule="auto"/>
    </w:pPr>
  </w:style>
  <w:style w:type="character" w:customStyle="1" w:styleId="FooterChar">
    <w:name w:val="Footer Char"/>
    <w:basedOn w:val="DefaultParagraphFont"/>
    <w:link w:val="Footer"/>
    <w:uiPriority w:val="99"/>
    <w:rsid w:val="00E618BF"/>
  </w:style>
  <w:style w:type="paragraph" w:styleId="Heading1">
    <w:name w:val="heading 1"/>
    <w:basedOn w:val="Normal"/>
    <w:next w:val="Normal"/>
    <w:link w:val="Heading1Char"/>
    <w:uiPriority w:val="9"/>
    <w:qFormat/>
    <w:rsid w:val="00FC693F"/>
    <w:pPr>
      <w:keepNext/>
      <w:keepLines/>
      <w:spacing w:before="280" w:after="80"/>
      <w:outlineLvl w:val="0"/>
    </w:pPr>
    <w:rPr>
      <w:rFonts w:ascii="Calibri" w:hAnsi="Calibri" w:cs="Calibri" w:eastAsia="Calibri"/>
      <w:b/>
      <w:bCs/>
      <w:i w:val="0"/>
      <w:color w:val="1A1A1A"/>
      <w:sz w:val="30"/>
      <w:szCs w:val="28"/>
    </w:rPr>
  </w:style>
  <w:style w:type="paragraph" w:styleId="Heading2">
    <w:name w:val="heading 2"/>
    <w:basedOn w:val="Normal"/>
    <w:next w:val="Normal"/>
    <w:link w:val="Heading2Char"/>
    <w:uiPriority w:val="9"/>
    <w:unhideWhenUsed/>
    <w:qFormat/>
    <w:rsid w:val="00FC693F"/>
    <w:pPr>
      <w:keepNext/>
      <w:keepLines/>
      <w:spacing w:before="240" w:after="80"/>
      <w:outlineLvl w:val="1"/>
    </w:pPr>
    <w:rPr>
      <w:rFonts w:ascii="Calibri" w:hAnsi="Calibri" w:cs="Calibri" w:eastAsia="Calibri"/>
      <w:b/>
      <w:bCs/>
      <w:i w:val="0"/>
      <w:color w:val="1A1A1A"/>
      <w:sz w:val="25"/>
      <w:szCs w:val="26"/>
    </w:rPr>
  </w:style>
  <w:style w:type="paragraph" w:styleId="Heading3">
    <w:name w:val="heading 3"/>
    <w:basedOn w:val="Normal"/>
    <w:next w:val="Normal"/>
    <w:link w:val="Heading3Char"/>
    <w:uiPriority w:val="9"/>
    <w:unhideWhenUsed/>
    <w:qFormat/>
    <w:rsid w:val="00FC693F"/>
    <w:pPr>
      <w:keepNext/>
      <w:keepLines/>
      <w:spacing w:before="160" w:after="60"/>
      <w:outlineLvl w:val="2"/>
    </w:pPr>
    <w:rPr>
      <w:rFonts w:ascii="Calibri" w:hAnsi="Calibri" w:cs="Calibri" w:eastAsia="Calibri"/>
      <w:b/>
      <w:bCs/>
      <w:i w:val="0"/>
      <w:color w:val="1A1A1A"/>
      <w:sz w:val="21"/>
    </w:rPr>
  </w:style>
  <w:style w:type="paragraph" w:styleId="Heading4">
    <w:name w:val="heading 4"/>
    <w:basedOn w:val="Normal"/>
    <w:next w:val="Normal"/>
    <w:link w:val="Heading4Char"/>
    <w:uiPriority w:val="9"/>
    <w:semiHidden/>
    <w:unhideWhenUsed/>
    <w:qFormat/>
    <w:rsid w:val="00FC693F"/>
    <w:pPr>
      <w:keepNext/>
      <w:keepLines/>
      <w:spacing w:before="200" w:after="0"/>
      <w:outlineLvl w:val="3"/>
    </w:pPr>
    <w:rPr>
      <w:rFonts w:asciiTheme="majorHAnsi" w:eastAsiaTheme="majorEastAsia" w:hAnsiTheme="majorHAnsi" w:cstheme="majorBidi"/>
      <w:b/>
      <w:bCs/>
      <w:i/>
      <w:iCs/>
      <w:color w:val="4F81BD" w:themeColor="accent1"/>
    </w:rPr>
  </w:style>
  <w:style w:type="paragraph" w:styleId="Heading5">
    <w:name w:val="heading 5"/>
    <w:basedOn w:val="Normal"/>
    <w:next w:val="Normal"/>
    <w:link w:val="Heading5Char"/>
    <w:uiPriority w:val="9"/>
    <w:semiHidden/>
    <w:unhideWhenUsed/>
    <w:qFormat/>
    <w:rsid w:val="00FC693F"/>
    <w:pPr>
      <w:keepNext/>
      <w:keepLines/>
      <w:spacing w:before="200" w:after="0"/>
      <w:outlineLvl w:val="4"/>
    </w:pPr>
    <w:rPr>
      <w:rFonts w:asciiTheme="majorHAnsi" w:eastAsiaTheme="majorEastAsia" w:hAnsiTheme="majorHAnsi" w:cstheme="majorBidi"/>
      <w:color w:val="243F60" w:themeColor="accent1" w:themeShade="7F"/>
    </w:rPr>
  </w:style>
  <w:style w:type="paragraph" w:styleId="Heading6">
    <w:name w:val="heading 6"/>
    <w:basedOn w:val="Normal"/>
    <w:next w:val="Normal"/>
    <w:link w:val="Heading6Char"/>
    <w:uiPriority w:val="9"/>
    <w:semiHidden/>
    <w:unhideWhenUsed/>
    <w:qFormat/>
    <w:rsid w:val="00FC693F"/>
    <w:pPr>
      <w:keepNext/>
      <w:keepLines/>
      <w:spacing w:before="200" w:after="0"/>
      <w:outlineLvl w:val="5"/>
    </w:pPr>
    <w:rPr>
      <w:rFonts w:asciiTheme="majorHAnsi" w:eastAsiaTheme="majorEastAsia" w:hAnsiTheme="majorHAnsi" w:cstheme="majorBidi"/>
      <w:i/>
      <w:iCs/>
      <w:color w:val="243F60" w:themeColor="accent1" w:themeShade="7F"/>
    </w:rPr>
  </w:style>
  <w:style w:type="paragraph" w:styleId="Heading7">
    <w:name w:val="heading 7"/>
    <w:basedOn w:val="Normal"/>
    <w:next w:val="Normal"/>
    <w:link w:val="Heading7Char"/>
    <w:uiPriority w:val="9"/>
    <w:semiHidden/>
    <w:unhideWhenUsed/>
    <w:qFormat/>
    <w:rsid w:val="00FC693F"/>
    <w:pPr>
      <w:keepNext/>
      <w:keepLines/>
      <w:spacing w:before="200" w:after="0"/>
      <w:outlineLvl w:val="6"/>
    </w:pPr>
    <w:rPr>
      <w:rFonts w:asciiTheme="majorHAnsi" w:eastAsiaTheme="majorEastAsia" w:hAnsiTheme="majorHAnsi" w:cstheme="majorBidi"/>
      <w:i/>
      <w:iCs/>
      <w:color w:val="404040" w:themeColor="text1" w:themeTint="BF"/>
    </w:rPr>
  </w:style>
  <w:style w:type="paragraph" w:styleId="Heading8">
    <w:name w:val="heading 8"/>
    <w:basedOn w:val="Normal"/>
    <w:next w:val="Normal"/>
    <w:link w:val="Heading8Char"/>
    <w:uiPriority w:val="9"/>
    <w:semiHidden/>
    <w:unhideWhenUsed/>
    <w:qFormat/>
    <w:rsid w:val="00FC693F"/>
    <w:pPr>
      <w:keepNext/>
      <w:keepLines/>
      <w:spacing w:before="200" w:after="0"/>
      <w:outlineLvl w:val="7"/>
    </w:pPr>
    <w:rPr>
      <w:rFonts w:asciiTheme="majorHAnsi" w:eastAsiaTheme="majorEastAsia" w:hAnsiTheme="majorHAnsi" w:cstheme="majorBidi"/>
      <w:color w:val="4F81BD" w:themeColor="accent1"/>
      <w:sz w:val="20"/>
      <w:szCs w:val="20"/>
    </w:rPr>
  </w:style>
  <w:style w:type="paragraph" w:styleId="Heading9">
    <w:name w:val="heading 9"/>
    <w:basedOn w:val="Normal"/>
    <w:next w:val="Normal"/>
    <w:link w:val="Heading9Char"/>
    <w:uiPriority w:val="9"/>
    <w:semiHidden/>
    <w:unhideWhenUsed/>
    <w:qFormat/>
    <w:rsid w:val="00FC693F"/>
    <w:pPr>
      <w:keepNext/>
      <w:keepLines/>
      <w:spacing w:before="200" w:after="0"/>
      <w:outlineLvl w:val="8"/>
    </w:pPr>
    <w:rPr>
      <w:rFonts w:asciiTheme="majorHAnsi" w:eastAsiaTheme="majorEastAsia" w:hAnsiTheme="majorHAnsi" w:cstheme="majorBidi"/>
      <w:i/>
      <w:iCs/>
      <w:color w:val="404040" w:themeColor="text1" w:themeTint="BF"/>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NoSpacing">
    <w:name w:val="No Spacing"/>
    <w:uiPriority w:val="1"/>
    <w:qFormat/>
    <w:rsid w:val="00FC693F"/>
    <w:pPr>
      <w:spacing w:after="0" w:line="240" w:lineRule="auto"/>
    </w:pPr>
  </w:style>
  <w:style w:type="character" w:customStyle="1" w:styleId="Heading1Char">
    <w:name w:val="Heading 1 Char"/>
    <w:basedOn w:val="DefaultParagraphFont"/>
    <w:link w:val="Heading1"/>
    <w:uiPriority w:val="9"/>
    <w:rsid w:val="00FC693F"/>
    <w:rPr>
      <w:rFonts w:asciiTheme="majorHAnsi" w:eastAsiaTheme="majorEastAsia" w:hAnsiTheme="majorHAnsi" w:cstheme="majorBidi"/>
      <w:b/>
      <w:bCs/>
      <w:color w:val="365F91" w:themeColor="accent1" w:themeShade="BF"/>
      <w:sz w:val="28"/>
      <w:szCs w:val="28"/>
    </w:rPr>
  </w:style>
  <w:style w:type="character" w:customStyle="1" w:styleId="Heading2Char">
    <w:name w:val="Heading 2 Char"/>
    <w:basedOn w:val="DefaultParagraphFont"/>
    <w:link w:val="Heading2"/>
    <w:uiPriority w:val="9"/>
    <w:rsid w:val="00FC693F"/>
    <w:rPr>
      <w:rFonts w:asciiTheme="majorHAnsi" w:eastAsiaTheme="majorEastAsia" w:hAnsiTheme="majorHAnsi" w:cstheme="majorBidi"/>
      <w:b/>
      <w:bCs/>
      <w:color w:val="4F81BD" w:themeColor="accent1"/>
      <w:sz w:val="26"/>
      <w:szCs w:val="26"/>
    </w:rPr>
  </w:style>
  <w:style w:type="character" w:customStyle="1" w:styleId="Heading3Char">
    <w:name w:val="Heading 3 Char"/>
    <w:basedOn w:val="DefaultParagraphFont"/>
    <w:link w:val="Heading3"/>
    <w:uiPriority w:val="9"/>
    <w:rsid w:val="00FC693F"/>
    <w:rPr>
      <w:rFonts w:asciiTheme="majorHAnsi" w:eastAsiaTheme="majorEastAsia" w:hAnsiTheme="majorHAnsi" w:cstheme="majorBidi"/>
      <w:b/>
      <w:bCs/>
      <w:color w:val="4F81BD" w:themeColor="accent1"/>
    </w:rPr>
  </w:style>
  <w:style w:type="paragraph" w:styleId="Title">
    <w:name w:val="Title"/>
    <w:basedOn w:val="Normal"/>
    <w:next w:val="Normal"/>
    <w:link w:val="TitleChar"/>
    <w:uiPriority w:val="10"/>
    <w:qFormat/>
    <w:rsid w:val="00FC693F"/>
    <w:pPr>
      <w:keepNext/>
      <w:spacing w:after="40" w:line="240" w:lineRule="auto" w:before="0"/>
      <w:contextualSpacing/>
    </w:pPr>
    <w:rPr>
      <w:rFonts w:ascii="Calibri" w:hAnsi="Calibri" w:cs="Calibri" w:eastAsia="Calibri"/>
      <w:b/>
      <w:i w:val="0"/>
      <w:color w:val="1A1A1A"/>
      <w:spacing w:val="5"/>
      <w:kern w:val="28"/>
      <w:sz w:val="40"/>
      <w:szCs w:val="52"/>
    </w:rPr>
  </w:style>
  <w:style w:type="character" w:customStyle="1" w:styleId="TitleChar">
    <w:name w:val="Title Char"/>
    <w:basedOn w:val="DefaultParagraphFont"/>
    <w:link w:val="Title"/>
    <w:uiPriority w:val="10"/>
    <w:rsid w:val="00FC693F"/>
    <w:rPr>
      <w:rFonts w:asciiTheme="majorHAnsi" w:eastAsiaTheme="majorEastAsia" w:hAnsiTheme="majorHAnsi" w:cstheme="majorBidi"/>
      <w:color w:val="17365D" w:themeColor="text2" w:themeShade="BF"/>
      <w:spacing w:val="5"/>
      <w:kern w:val="28"/>
      <w:sz w:val="52"/>
      <w:szCs w:val="52"/>
    </w:rPr>
  </w:style>
  <w:style w:type="paragraph" w:styleId="Subtitle">
    <w:name w:val="Subtitle"/>
    <w:basedOn w:val="Normal"/>
    <w:next w:val="Normal"/>
    <w:link w:val="SubtitleChar"/>
    <w:uiPriority w:val="11"/>
    <w:qFormat/>
    <w:rsid w:val="00FC693F"/>
    <w:pPr>
      <w:numPr>
        <w:ilvl w:val="1"/>
      </w:numPr>
    </w:pPr>
    <w:rPr>
      <w:rFonts w:asciiTheme="majorHAnsi" w:eastAsiaTheme="majorEastAsia" w:hAnsiTheme="majorHAnsi" w:cstheme="majorBidi"/>
      <w:i/>
      <w:iCs/>
      <w:color w:val="4F81BD" w:themeColor="accent1"/>
      <w:spacing w:val="15"/>
      <w:sz w:val="24"/>
      <w:szCs w:val="24"/>
    </w:rPr>
  </w:style>
  <w:style w:type="character" w:customStyle="1" w:styleId="SubtitleChar">
    <w:name w:val="Subtitle Char"/>
    <w:basedOn w:val="DefaultParagraphFont"/>
    <w:link w:val="Subtitle"/>
    <w:uiPriority w:val="11"/>
    <w:rsid w:val="00FC693F"/>
    <w:rPr>
      <w:rFonts w:asciiTheme="majorHAnsi" w:eastAsiaTheme="majorEastAsia" w:hAnsiTheme="majorHAnsi" w:cstheme="majorBidi"/>
      <w:i/>
      <w:iCs/>
      <w:color w:val="4F81BD" w:themeColor="accent1"/>
      <w:spacing w:val="15"/>
      <w:sz w:val="24"/>
      <w:szCs w:val="24"/>
    </w:rPr>
  </w:style>
  <w:style w:type="paragraph" w:styleId="ListParagraph">
    <w:name w:val="List Paragraph"/>
    <w:basedOn w:val="Normal"/>
    <w:uiPriority w:val="34"/>
    <w:qFormat/>
    <w:rsid w:val="00FC693F"/>
    <w:pPr>
      <w:ind w:left="720"/>
      <w:contextualSpacing/>
    </w:pPr>
  </w:style>
  <w:style w:type="paragraph" w:styleId="BodyText">
    <w:name w:val="Body Text"/>
    <w:basedOn w:val="Normal"/>
    <w:link w:val="BodyTextChar"/>
    <w:uiPriority w:val="99"/>
    <w:unhideWhenUsed/>
    <w:rsid w:val="00AA1D8D"/>
    <w:pPr>
      <w:spacing w:after="120"/>
    </w:pPr>
  </w:style>
  <w:style w:type="character" w:customStyle="1" w:styleId="BodyTextChar">
    <w:name w:val="Body Text Char"/>
    <w:basedOn w:val="DefaultParagraphFont"/>
    <w:link w:val="BodyText"/>
    <w:uiPriority w:val="99"/>
    <w:rsid w:val="00AA1D8D"/>
  </w:style>
  <w:style w:type="paragraph" w:styleId="BodyText2">
    <w:name w:val="Body Text 2"/>
    <w:basedOn w:val="Normal"/>
    <w:link w:val="BodyText2Char"/>
    <w:uiPriority w:val="99"/>
    <w:unhideWhenUsed/>
    <w:rsid w:val="00AA1D8D"/>
    <w:pPr>
      <w:spacing w:after="120" w:line="480" w:lineRule="auto"/>
    </w:pPr>
  </w:style>
  <w:style w:type="character" w:customStyle="1" w:styleId="BodyText2Char">
    <w:name w:val="Body Text 2 Char"/>
    <w:basedOn w:val="DefaultParagraphFont"/>
    <w:link w:val="BodyText2"/>
    <w:uiPriority w:val="99"/>
    <w:rsid w:val="00AA1D8D"/>
  </w:style>
  <w:style w:type="paragraph" w:styleId="BodyText3">
    <w:name w:val="Body Text 3"/>
    <w:basedOn w:val="Normal"/>
    <w:link w:val="BodyText3Char"/>
    <w:uiPriority w:val="99"/>
    <w:unhideWhenUsed/>
    <w:rsid w:val="00AA1D8D"/>
    <w:pPr>
      <w:spacing w:after="120"/>
    </w:pPr>
    <w:rPr>
      <w:sz w:val="16"/>
      <w:szCs w:val="16"/>
    </w:rPr>
  </w:style>
  <w:style w:type="character" w:customStyle="1" w:styleId="BodyText3Char">
    <w:name w:val="Body Text 3 Char"/>
    <w:basedOn w:val="DefaultParagraphFont"/>
    <w:link w:val="BodyText3"/>
    <w:uiPriority w:val="99"/>
    <w:rsid w:val="00AA1D8D"/>
    <w:rPr>
      <w:sz w:val="16"/>
      <w:szCs w:val="16"/>
    </w:rPr>
  </w:style>
  <w:style w:type="paragraph" w:styleId="List">
    <w:name w:val="List"/>
    <w:basedOn w:val="Normal"/>
    <w:uiPriority w:val="99"/>
    <w:unhideWhenUsed/>
    <w:rsid w:val="00AA1D8D"/>
    <w:pPr>
      <w:ind w:left="360" w:hanging="360"/>
      <w:contextualSpacing/>
    </w:pPr>
  </w:style>
  <w:style w:type="paragraph" w:styleId="List2">
    <w:name w:val="List 2"/>
    <w:basedOn w:val="Normal"/>
    <w:uiPriority w:val="99"/>
    <w:unhideWhenUsed/>
    <w:rsid w:val="00326F90"/>
    <w:pPr>
      <w:ind w:left="720" w:hanging="360"/>
      <w:contextualSpacing/>
    </w:pPr>
  </w:style>
  <w:style w:type="paragraph" w:styleId="List3">
    <w:name w:val="List 3"/>
    <w:basedOn w:val="Normal"/>
    <w:uiPriority w:val="99"/>
    <w:unhideWhenUsed/>
    <w:rsid w:val="00326F90"/>
    <w:pPr>
      <w:ind w:left="1080" w:hanging="360"/>
      <w:contextualSpacing/>
    </w:pPr>
  </w:style>
  <w:style w:type="paragraph" w:styleId="ListBullet">
    <w:name w:val="List Bullet"/>
    <w:basedOn w:val="Normal"/>
    <w:uiPriority w:val="99"/>
    <w:unhideWhenUsed/>
    <w:rsid w:val="00326F90"/>
    <w:pPr>
      <w:numPr>
        <w:numId w:val="1"/>
      </w:numPr>
      <w:contextualSpacing/>
    </w:pPr>
  </w:style>
  <w:style w:type="paragraph" w:styleId="ListBullet2">
    <w:name w:val="List Bullet 2"/>
    <w:basedOn w:val="Normal"/>
    <w:uiPriority w:val="99"/>
    <w:unhideWhenUsed/>
    <w:rsid w:val="00326F90"/>
    <w:pPr>
      <w:numPr>
        <w:numId w:val="2"/>
      </w:numPr>
      <w:contextualSpacing/>
    </w:pPr>
  </w:style>
  <w:style w:type="paragraph" w:styleId="ListBullet3">
    <w:name w:val="List Bullet 3"/>
    <w:basedOn w:val="Normal"/>
    <w:uiPriority w:val="99"/>
    <w:unhideWhenUsed/>
    <w:rsid w:val="00326F90"/>
    <w:pPr>
      <w:numPr>
        <w:numId w:val="3"/>
      </w:numPr>
      <w:contextualSpacing/>
    </w:pPr>
  </w:style>
  <w:style w:type="paragraph" w:styleId="ListNumber">
    <w:name w:val="List Number"/>
    <w:basedOn w:val="Normal"/>
    <w:uiPriority w:val="99"/>
    <w:unhideWhenUsed/>
    <w:rsid w:val="00326F90"/>
    <w:pPr>
      <w:numPr>
        <w:numId w:val="5"/>
      </w:numPr>
      <w:contextualSpacing/>
    </w:pPr>
  </w:style>
  <w:style w:type="paragraph" w:styleId="ListNumber2">
    <w:name w:val="List Number 2"/>
    <w:basedOn w:val="Normal"/>
    <w:uiPriority w:val="99"/>
    <w:unhideWhenUsed/>
    <w:rsid w:val="0029639D"/>
    <w:pPr>
      <w:numPr>
        <w:numId w:val="6"/>
      </w:numPr>
      <w:contextualSpacing/>
    </w:pPr>
  </w:style>
  <w:style w:type="paragraph" w:styleId="ListNumber3">
    <w:name w:val="List Number 3"/>
    <w:basedOn w:val="Normal"/>
    <w:uiPriority w:val="99"/>
    <w:unhideWhenUsed/>
    <w:rsid w:val="0029639D"/>
    <w:pPr>
      <w:numPr>
        <w:numId w:val="7"/>
      </w:numPr>
      <w:contextualSpacing/>
    </w:pPr>
  </w:style>
  <w:style w:type="paragraph" w:styleId="ListContinue">
    <w:name w:val="List Continue"/>
    <w:basedOn w:val="Normal"/>
    <w:uiPriority w:val="99"/>
    <w:unhideWhenUsed/>
    <w:rsid w:val="0029639D"/>
    <w:pPr>
      <w:spacing w:after="120"/>
      <w:ind w:left="360"/>
      <w:contextualSpacing/>
    </w:pPr>
  </w:style>
  <w:style w:type="paragraph" w:styleId="ListContinue2">
    <w:name w:val="List Continue 2"/>
    <w:basedOn w:val="Normal"/>
    <w:uiPriority w:val="99"/>
    <w:unhideWhenUsed/>
    <w:rsid w:val="0029639D"/>
    <w:pPr>
      <w:spacing w:after="120"/>
      <w:ind w:left="720"/>
      <w:contextualSpacing/>
    </w:pPr>
  </w:style>
  <w:style w:type="paragraph" w:styleId="ListContinue3">
    <w:name w:val="List Continue 3"/>
    <w:basedOn w:val="Normal"/>
    <w:uiPriority w:val="99"/>
    <w:unhideWhenUsed/>
    <w:rsid w:val="0029639D"/>
    <w:pPr>
      <w:spacing w:after="120"/>
      <w:ind w:left="1080"/>
      <w:contextualSpacing/>
    </w:pPr>
  </w:style>
  <w:style w:type="paragraph" w:styleId="MacroText">
    <w:name w:val="macro"/>
    <w:link w:val="MacroTextChar"/>
    <w:uiPriority w:val="99"/>
    <w:unhideWhenUsed/>
    <w:rsid w:val="0029639D"/>
    <w:pPr>
      <w:tabs>
        <w:tab w:val="left" w:pos="576"/>
        <w:tab w:val="left" w:pos="1152"/>
        <w:tab w:val="left" w:pos="1728"/>
        <w:tab w:val="left" w:pos="2304"/>
        <w:tab w:val="left" w:pos="2880"/>
        <w:tab w:val="left" w:pos="3456"/>
        <w:tab w:val="left" w:pos="4032"/>
      </w:tabs>
    </w:pPr>
    <w:rPr>
      <w:rFonts w:ascii="Courier" w:hAnsi="Courier"/>
      <w:sz w:val="20"/>
      <w:szCs w:val="20"/>
    </w:rPr>
  </w:style>
  <w:style w:type="character" w:customStyle="1" w:styleId="MacroTextChar">
    <w:name w:val="Macro Text Char"/>
    <w:basedOn w:val="DefaultParagraphFont"/>
    <w:link w:val="MacroText"/>
    <w:uiPriority w:val="99"/>
    <w:rsid w:val="0029639D"/>
    <w:rPr>
      <w:rFonts w:ascii="Courier" w:hAnsi="Courier"/>
      <w:sz w:val="20"/>
      <w:szCs w:val="20"/>
    </w:rPr>
  </w:style>
  <w:style w:type="paragraph" w:styleId="Quote">
    <w:name w:val="Quote"/>
    <w:basedOn w:val="Normal"/>
    <w:next w:val="Normal"/>
    <w:link w:val="QuoteChar"/>
    <w:uiPriority w:val="29"/>
    <w:qFormat/>
    <w:rsid w:val="00FC693F"/>
    <w:rPr>
      <w:i/>
      <w:iCs/>
      <w:color w:val="000000" w:themeColor="text1"/>
    </w:rPr>
  </w:style>
  <w:style w:type="character" w:customStyle="1" w:styleId="QuoteChar">
    <w:name w:val="Quote Char"/>
    <w:basedOn w:val="DefaultParagraphFont"/>
    <w:link w:val="Quote"/>
    <w:uiPriority w:val="29"/>
    <w:rsid w:val="00FC693F"/>
    <w:rPr>
      <w:i/>
      <w:iCs/>
      <w:color w:val="000000" w:themeColor="text1"/>
    </w:rPr>
  </w:style>
  <w:style w:type="character" w:customStyle="1" w:styleId="Heading4Char">
    <w:name w:val="Heading 4 Char"/>
    <w:basedOn w:val="DefaultParagraphFont"/>
    <w:link w:val="Heading4"/>
    <w:uiPriority w:val="9"/>
    <w:semiHidden/>
    <w:rsid w:val="00FC693F"/>
    <w:rPr>
      <w:rFonts w:asciiTheme="majorHAnsi" w:eastAsiaTheme="majorEastAsia" w:hAnsiTheme="majorHAnsi" w:cstheme="majorBidi"/>
      <w:b/>
      <w:bCs/>
      <w:i/>
      <w:iCs/>
      <w:color w:val="4F81BD" w:themeColor="accent1"/>
    </w:rPr>
  </w:style>
  <w:style w:type="character" w:customStyle="1" w:styleId="Heading5Char">
    <w:name w:val="Heading 5 Char"/>
    <w:basedOn w:val="DefaultParagraphFont"/>
    <w:link w:val="Heading5"/>
    <w:uiPriority w:val="9"/>
    <w:semiHidden/>
    <w:rsid w:val="00FC693F"/>
    <w:rPr>
      <w:rFonts w:asciiTheme="majorHAnsi" w:eastAsiaTheme="majorEastAsia" w:hAnsiTheme="majorHAnsi" w:cstheme="majorBidi"/>
      <w:color w:val="243F60" w:themeColor="accent1" w:themeShade="7F"/>
    </w:rPr>
  </w:style>
  <w:style w:type="character" w:customStyle="1" w:styleId="Heading6Char">
    <w:name w:val="Heading 6 Char"/>
    <w:basedOn w:val="DefaultParagraphFont"/>
    <w:link w:val="Heading6"/>
    <w:uiPriority w:val="9"/>
    <w:semiHidden/>
    <w:rsid w:val="00FC693F"/>
    <w:rPr>
      <w:rFonts w:asciiTheme="majorHAnsi" w:eastAsiaTheme="majorEastAsia" w:hAnsiTheme="majorHAnsi" w:cstheme="majorBidi"/>
      <w:i/>
      <w:iCs/>
      <w:color w:val="243F60" w:themeColor="accent1" w:themeShade="7F"/>
    </w:rPr>
  </w:style>
  <w:style w:type="character" w:customStyle="1" w:styleId="Heading7Char">
    <w:name w:val="Heading 7 Char"/>
    <w:basedOn w:val="DefaultParagraphFont"/>
    <w:link w:val="Heading7"/>
    <w:uiPriority w:val="9"/>
    <w:semiHidden/>
    <w:rsid w:val="00FC693F"/>
    <w:rPr>
      <w:rFonts w:asciiTheme="majorHAnsi" w:eastAsiaTheme="majorEastAsia" w:hAnsiTheme="majorHAnsi" w:cstheme="majorBidi"/>
      <w:i/>
      <w:iCs/>
      <w:color w:val="404040" w:themeColor="text1" w:themeTint="BF"/>
    </w:rPr>
  </w:style>
  <w:style w:type="character" w:customStyle="1" w:styleId="Heading8Char">
    <w:name w:val="Heading 8 Char"/>
    <w:basedOn w:val="DefaultParagraphFont"/>
    <w:link w:val="Heading8"/>
    <w:uiPriority w:val="9"/>
    <w:semiHidden/>
    <w:rsid w:val="00FC693F"/>
    <w:rPr>
      <w:rFonts w:asciiTheme="majorHAnsi" w:eastAsiaTheme="majorEastAsia" w:hAnsiTheme="majorHAnsi" w:cstheme="majorBidi"/>
      <w:color w:val="4F81BD" w:themeColor="accent1"/>
      <w:sz w:val="20"/>
      <w:szCs w:val="20"/>
    </w:rPr>
  </w:style>
  <w:style w:type="character" w:customStyle="1" w:styleId="Heading9Char">
    <w:name w:val="Heading 9 Char"/>
    <w:basedOn w:val="DefaultParagraphFont"/>
    <w:link w:val="Heading9"/>
    <w:uiPriority w:val="9"/>
    <w:semiHidden/>
    <w:rsid w:val="00FC693F"/>
    <w:rPr>
      <w:rFonts w:asciiTheme="majorHAnsi" w:eastAsiaTheme="majorEastAsia" w:hAnsiTheme="majorHAnsi" w:cstheme="majorBidi"/>
      <w:i/>
      <w:iCs/>
      <w:color w:val="404040" w:themeColor="text1" w:themeTint="BF"/>
      <w:sz w:val="20"/>
      <w:szCs w:val="20"/>
    </w:rPr>
  </w:style>
  <w:style w:type="paragraph" w:styleId="Caption">
    <w:name w:val="caption"/>
    <w:basedOn w:val="Normal"/>
    <w:next w:val="Normal"/>
    <w:uiPriority w:val="35"/>
    <w:semiHidden/>
    <w:unhideWhenUsed/>
    <w:qFormat/>
    <w:rsid w:val="00FC693F"/>
    <w:pPr>
      <w:spacing w:line="240" w:lineRule="auto"/>
    </w:pPr>
    <w:rPr>
      <w:b/>
      <w:bCs/>
      <w:color w:val="4F81BD" w:themeColor="accent1"/>
      <w:sz w:val="18"/>
      <w:szCs w:val="18"/>
    </w:rPr>
  </w:style>
  <w:style w:type="character" w:styleId="Strong">
    <w:name w:val="Strong"/>
    <w:basedOn w:val="DefaultParagraphFont"/>
    <w:uiPriority w:val="22"/>
    <w:qFormat/>
    <w:rsid w:val="00FC693F"/>
    <w:rPr>
      <w:b/>
      <w:bCs/>
    </w:rPr>
  </w:style>
  <w:style w:type="character" w:styleId="Emphasis">
    <w:name w:val="Emphasis"/>
    <w:basedOn w:val="DefaultParagraphFont"/>
    <w:uiPriority w:val="20"/>
    <w:qFormat/>
    <w:rsid w:val="00FC693F"/>
    <w:rPr>
      <w:i/>
      <w:iCs/>
    </w:rPr>
  </w:style>
  <w:style w:type="paragraph" w:styleId="IntenseQuote">
    <w:name w:val="Intense Quote"/>
    <w:basedOn w:val="Normal"/>
    <w:next w:val="Normal"/>
    <w:link w:val="IntenseQuoteChar"/>
    <w:uiPriority w:val="30"/>
    <w:qFormat/>
    <w:rsid w:val="00FC693F"/>
    <w:pPr>
      <w:pBdr>
        <w:bottom w:val="single" w:sz="4" w:space="4" w:color="4F81BD" w:themeColor="accent1"/>
      </w:pBdr>
      <w:spacing w:before="200" w:after="280"/>
      <w:ind w:left="936" w:right="936"/>
    </w:pPr>
    <w:rPr>
      <w:b/>
      <w:bCs/>
      <w:i/>
      <w:iCs/>
      <w:color w:val="4F81BD" w:themeColor="accent1"/>
    </w:rPr>
  </w:style>
  <w:style w:type="character" w:customStyle="1" w:styleId="IntenseQuoteChar">
    <w:name w:val="Intense Quote Char"/>
    <w:basedOn w:val="DefaultParagraphFont"/>
    <w:link w:val="IntenseQuote"/>
    <w:uiPriority w:val="30"/>
    <w:rsid w:val="00FC693F"/>
    <w:rPr>
      <w:b/>
      <w:bCs/>
      <w:i/>
      <w:iCs/>
      <w:color w:val="4F81BD" w:themeColor="accent1"/>
    </w:rPr>
  </w:style>
  <w:style w:type="character" w:styleId="SubtleEmphasis">
    <w:name w:val="Subtle Emphasis"/>
    <w:basedOn w:val="DefaultParagraphFont"/>
    <w:uiPriority w:val="19"/>
    <w:qFormat/>
    <w:rsid w:val="00FC693F"/>
    <w:rPr>
      <w:i/>
      <w:iCs/>
      <w:color w:val="808080" w:themeColor="text1" w:themeTint="7F"/>
    </w:rPr>
  </w:style>
  <w:style w:type="character" w:styleId="IntenseEmphasis">
    <w:name w:val="Intense Emphasis"/>
    <w:basedOn w:val="DefaultParagraphFont"/>
    <w:uiPriority w:val="21"/>
    <w:qFormat/>
    <w:rsid w:val="00FC693F"/>
    <w:rPr>
      <w:b/>
      <w:bCs/>
      <w:i/>
      <w:iCs/>
      <w:color w:val="4F81BD" w:themeColor="accent1"/>
    </w:rPr>
  </w:style>
  <w:style w:type="character" w:styleId="SubtleReference">
    <w:name w:val="Subtle Reference"/>
    <w:basedOn w:val="DefaultParagraphFont"/>
    <w:uiPriority w:val="31"/>
    <w:qFormat/>
    <w:rsid w:val="00FC693F"/>
    <w:rPr>
      <w:smallCaps/>
      <w:color w:val="C0504D" w:themeColor="accent2"/>
      <w:u w:val="single"/>
    </w:rPr>
  </w:style>
  <w:style w:type="character" w:styleId="IntenseReference">
    <w:name w:val="Intense Reference"/>
    <w:basedOn w:val="DefaultParagraphFont"/>
    <w:uiPriority w:val="32"/>
    <w:qFormat/>
    <w:rsid w:val="00FC693F"/>
    <w:rPr>
      <w:b/>
      <w:bCs/>
      <w:smallCaps/>
      <w:color w:val="C0504D" w:themeColor="accent2"/>
      <w:spacing w:val="5"/>
      <w:u w:val="single"/>
    </w:rPr>
  </w:style>
  <w:style w:type="character" w:styleId="BookTitle">
    <w:name w:val="Book Title"/>
    <w:basedOn w:val="DefaultParagraphFont"/>
    <w:uiPriority w:val="33"/>
    <w:qFormat/>
    <w:rsid w:val="00FC693F"/>
    <w:rPr>
      <w:b/>
      <w:bCs/>
      <w:smallCaps/>
      <w:spacing w:val="5"/>
    </w:rPr>
  </w:style>
  <w:style w:type="paragraph" w:styleId="TOCHeading">
    <w:name w:val="TOC Heading"/>
    <w:basedOn w:val="Heading1"/>
    <w:next w:val="Normal"/>
    <w:uiPriority w:val="39"/>
    <w:semiHidden/>
    <w:unhideWhenUsed/>
    <w:qFormat/>
    <w:rsid w:val="00FC693F"/>
    <w:pPr>
      <w:outlineLvl w:val="9"/>
    </w:pPr>
  </w:style>
  <w:style w:type="table" w:styleId="TableGrid">
    <w:name w:val="Table Grid"/>
    <w:basedOn w:val="TableNormal"/>
    <w:uiPriority w:val="59"/>
    <w:rsid w:val="00FC693F"/>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styleId="LightShading">
    <w:name w:val="Light Shading"/>
    <w:basedOn w:val="TableNormal"/>
    <w:uiPriority w:val="60"/>
    <w:rsid w:val="00FC693F"/>
    <w:pPr>
      <w:spacing w:after="0" w:line="240" w:lineRule="auto"/>
    </w:pPr>
    <w:rPr>
      <w:color w:val="000000" w:themeColor="text1" w:themeShade="BF"/>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la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left w:val="nil"/>
          <w:right w:val="nil"/>
          <w:insideH w:val="nil"/>
          <w:insideV w:val="nil"/>
        </w:tcBorders>
        <w:shd w:val="clear" w:color="auto" w:fill="C0C0C0" w:themeFill="text1" w:themeFillTint="3F"/>
      </w:tcPr>
    </w:tblStylePr>
  </w:style>
  <w:style w:type="table" w:styleId="LightShading-Accent1">
    <w:name w:val="Light Shading Accent 1"/>
    <w:basedOn w:val="TableNormal"/>
    <w:uiPriority w:val="60"/>
    <w:rsid w:val="00FC693F"/>
    <w:pPr>
      <w:spacing w:after="0" w:line="240" w:lineRule="auto"/>
    </w:pPr>
    <w:rPr>
      <w:color w:val="365F91" w:themeColor="accent1" w:themeShade="BF"/>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la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left w:val="nil"/>
          <w:right w:val="nil"/>
          <w:insideH w:val="nil"/>
          <w:insideV w:val="nil"/>
        </w:tcBorders>
        <w:shd w:val="clear" w:color="auto" w:fill="D3DFEE" w:themeFill="accent1" w:themeFillTint="3F"/>
      </w:tcPr>
    </w:tblStylePr>
  </w:style>
  <w:style w:type="table" w:styleId="LightShading-Accent2">
    <w:name w:val="Light Shading Accent 2"/>
    <w:basedOn w:val="TableNormal"/>
    <w:uiPriority w:val="60"/>
    <w:rsid w:val="00FC693F"/>
    <w:pPr>
      <w:spacing w:after="0" w:line="240" w:lineRule="auto"/>
    </w:pPr>
    <w:rPr>
      <w:color w:val="943634" w:themeColor="accent2" w:themeShade="BF"/>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la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left w:val="nil"/>
          <w:right w:val="nil"/>
          <w:insideH w:val="nil"/>
          <w:insideV w:val="nil"/>
        </w:tcBorders>
        <w:shd w:val="clear" w:color="auto" w:fill="EFD3D2" w:themeFill="accent2" w:themeFillTint="3F"/>
      </w:tcPr>
    </w:tblStylePr>
  </w:style>
  <w:style w:type="table" w:styleId="LightShading-Accent3">
    <w:name w:val="Light Shading Accent 3"/>
    <w:basedOn w:val="TableNormal"/>
    <w:uiPriority w:val="60"/>
    <w:rsid w:val="00FC693F"/>
    <w:pPr>
      <w:spacing w:after="0" w:line="240" w:lineRule="auto"/>
    </w:pPr>
    <w:rPr>
      <w:color w:val="76923C" w:themeColor="accent3" w:themeShade="BF"/>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la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left w:val="nil"/>
          <w:right w:val="nil"/>
          <w:insideH w:val="nil"/>
          <w:insideV w:val="nil"/>
        </w:tcBorders>
        <w:shd w:val="clear" w:color="auto" w:fill="E6EED5" w:themeFill="accent3" w:themeFillTint="3F"/>
      </w:tcPr>
    </w:tblStylePr>
  </w:style>
  <w:style w:type="table" w:styleId="LightShading-Accent4">
    <w:name w:val="Light Shading Accent 4"/>
    <w:basedOn w:val="TableNormal"/>
    <w:uiPriority w:val="60"/>
    <w:rsid w:val="00FC693F"/>
    <w:pPr>
      <w:spacing w:after="0" w:line="240" w:lineRule="auto"/>
    </w:pPr>
    <w:rPr>
      <w:color w:val="5F497A" w:themeColor="accent4" w:themeShade="BF"/>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la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left w:val="nil"/>
          <w:right w:val="nil"/>
          <w:insideH w:val="nil"/>
          <w:insideV w:val="nil"/>
        </w:tcBorders>
        <w:shd w:val="clear" w:color="auto" w:fill="DFD8E8" w:themeFill="accent4" w:themeFillTint="3F"/>
      </w:tcPr>
    </w:tblStylePr>
  </w:style>
  <w:style w:type="table" w:styleId="LightShading-Accent5">
    <w:name w:val="Light Shading Accent 5"/>
    <w:basedOn w:val="TableNormal"/>
    <w:uiPriority w:val="60"/>
    <w:rsid w:val="00FC693F"/>
    <w:pPr>
      <w:spacing w:after="0" w:line="240" w:lineRule="auto"/>
    </w:pPr>
    <w:rPr>
      <w:color w:val="31849B" w:themeColor="accent5" w:themeShade="BF"/>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la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left w:val="nil"/>
          <w:right w:val="nil"/>
          <w:insideH w:val="nil"/>
          <w:insideV w:val="nil"/>
        </w:tcBorders>
        <w:shd w:val="clear" w:color="auto" w:fill="D2EAF1" w:themeFill="accent5" w:themeFillTint="3F"/>
      </w:tcPr>
    </w:tblStylePr>
  </w:style>
  <w:style w:type="table" w:styleId="LightShading-Accent6">
    <w:name w:val="Light Shading Accent 6"/>
    <w:basedOn w:val="TableNormal"/>
    <w:uiPriority w:val="60"/>
    <w:rsid w:val="00FC693F"/>
    <w:pPr>
      <w:spacing w:after="0" w:line="240" w:lineRule="auto"/>
    </w:pPr>
    <w:rPr>
      <w:color w:val="E36C0A" w:themeColor="accent6" w:themeShade="BF"/>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la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left w:val="nil"/>
          <w:right w:val="nil"/>
          <w:insideH w:val="nil"/>
          <w:insideV w:val="nil"/>
        </w:tcBorders>
        <w:shd w:val="clear" w:color="auto" w:fill="FDE4D0" w:themeFill="accent6" w:themeFillTint="3F"/>
      </w:tcPr>
    </w:tblStylePr>
  </w:style>
  <w:style w:type="table" w:styleId="LightList">
    <w:name w:val="Light List"/>
    <w:basedOn w:val="TableNormal"/>
    <w:uiPriority w:val="61"/>
    <w:rsid w:val="00FC693F"/>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000000" w:themeFill="text1"/>
      </w:tcPr>
    </w:tblStylePr>
    <w:tblStylePr w:type="lastRow">
      <w:pPr>
        <w:spacing w:before="0" w:after="0" w:line="240" w:lineRule="auto"/>
      </w:pPr>
      <w:rPr>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tcBorders>
      </w:tcPr>
    </w:tblStylePr>
    <w:tblStylePr w:type="firstCol">
      <w:rPr>
        <w:b/>
        <w:bCs/>
      </w:rPr>
    </w:tblStylePr>
    <w:tblStylePr w:type="lastCol">
      <w:rPr>
        <w:b/>
        <w:bCs/>
      </w:r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style>
  <w:style w:type="table" w:styleId="LightList-Accent1">
    <w:name w:val="Light List Accent 1"/>
    <w:basedOn w:val="TableNormal"/>
    <w:uiPriority w:val="61"/>
    <w:rsid w:val="00FC693F"/>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F81BD" w:themeFill="accent1"/>
      </w:tcPr>
    </w:tblStylePr>
    <w:tblStylePr w:type="lastRow">
      <w:pPr>
        <w:spacing w:before="0" w:after="0" w:line="240" w:lineRule="auto"/>
      </w:pPr>
      <w:rPr>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tcBorders>
      </w:tcPr>
    </w:tblStylePr>
    <w:tblStylePr w:type="firstCol">
      <w:rPr>
        <w:b/>
        <w:bCs/>
      </w:rPr>
    </w:tblStylePr>
    <w:tblStylePr w:type="lastCol">
      <w:rPr>
        <w:b/>
        <w:bCs/>
      </w:r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style>
  <w:style w:type="table" w:styleId="LightList-Accent2">
    <w:name w:val="Light List Accent 2"/>
    <w:basedOn w:val="TableNormal"/>
    <w:uiPriority w:val="61"/>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C0504D" w:themeFill="accent2"/>
      </w:tcPr>
    </w:tblStylePr>
    <w:tblStylePr w:type="lastRow">
      <w:pPr>
        <w:spacing w:before="0" w:after="0" w:line="240" w:lineRule="auto"/>
      </w:pPr>
      <w:rPr>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tcBorders>
      </w:tcPr>
    </w:tblStylePr>
    <w:tblStylePr w:type="firstCol">
      <w:rPr>
        <w:b/>
        <w:bCs/>
      </w:rPr>
    </w:tblStylePr>
    <w:tblStylePr w:type="lastCol">
      <w:rPr>
        <w:b/>
        <w:bCs/>
      </w:r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style>
  <w:style w:type="table" w:styleId="LightList-Accent3">
    <w:name w:val="Light List Accent 3"/>
    <w:basedOn w:val="TableNormal"/>
    <w:uiPriority w:val="61"/>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9BBB59" w:themeFill="accent3"/>
      </w:tcPr>
    </w:tblStylePr>
    <w:tblStylePr w:type="lastRow">
      <w:pPr>
        <w:spacing w:before="0" w:after="0" w:line="240" w:lineRule="auto"/>
      </w:pPr>
      <w:rPr>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tcBorders>
      </w:tcPr>
    </w:tblStylePr>
    <w:tblStylePr w:type="firstCol">
      <w:rPr>
        <w:b/>
        <w:bCs/>
      </w:rPr>
    </w:tblStylePr>
    <w:tblStylePr w:type="lastCol">
      <w:rPr>
        <w:b/>
        <w:bCs/>
      </w:r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style>
  <w:style w:type="table" w:styleId="LightList-Accent4">
    <w:name w:val="Light List Accent 4"/>
    <w:basedOn w:val="TableNormal"/>
    <w:uiPriority w:val="61"/>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8064A2" w:themeFill="accent4"/>
      </w:tcPr>
    </w:tblStylePr>
    <w:tblStylePr w:type="lastRow">
      <w:pPr>
        <w:spacing w:before="0" w:after="0" w:line="240" w:lineRule="auto"/>
      </w:pPr>
      <w:rPr>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tcBorders>
      </w:tcPr>
    </w:tblStylePr>
    <w:tblStylePr w:type="firstCol">
      <w:rPr>
        <w:b/>
        <w:bCs/>
      </w:rPr>
    </w:tblStylePr>
    <w:tblStylePr w:type="lastCol">
      <w:rPr>
        <w:b/>
        <w:bCs/>
      </w:r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style>
  <w:style w:type="table" w:styleId="LightList-Accent5">
    <w:name w:val="Light List Accent 5"/>
    <w:basedOn w:val="TableNormal"/>
    <w:uiPriority w:val="61"/>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BACC6" w:themeFill="accent5"/>
      </w:tcPr>
    </w:tblStylePr>
    <w:tblStylePr w:type="lastRow">
      <w:pPr>
        <w:spacing w:before="0" w:after="0" w:line="240" w:lineRule="auto"/>
      </w:pPr>
      <w:rPr>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tcBorders>
      </w:tcPr>
    </w:tblStylePr>
    <w:tblStylePr w:type="firstCol">
      <w:rPr>
        <w:b/>
        <w:bCs/>
      </w:rPr>
    </w:tblStylePr>
    <w:tblStylePr w:type="lastCol">
      <w:rPr>
        <w:b/>
        <w:bCs/>
      </w:r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style>
  <w:style w:type="table" w:styleId="LightList-Accent6">
    <w:name w:val="Light List Accent 6"/>
    <w:basedOn w:val="TableNormal"/>
    <w:uiPriority w:val="61"/>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F79646" w:themeFill="accent6"/>
      </w:tcPr>
    </w:tblStylePr>
    <w:tblStylePr w:type="lastRow">
      <w:pPr>
        <w:spacing w:before="0" w:after="0" w:line="240" w:lineRule="auto"/>
      </w:pPr>
      <w:rPr>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tcBorders>
      </w:tcPr>
    </w:tblStylePr>
    <w:tblStylePr w:type="firstCol">
      <w:rPr>
        <w:b/>
        <w:bCs/>
      </w:rPr>
    </w:tblStylePr>
    <w:tblStylePr w:type="lastCol">
      <w:rPr>
        <w:b/>
        <w:bCs/>
      </w:r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style>
  <w:style w:type="table" w:styleId="LightGrid">
    <w:name w:val="Light Grid"/>
    <w:basedOn w:val="TableNormal"/>
    <w:uiPriority w:val="62"/>
    <w:rsid w:val="00CB0664"/>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18" w:space="0" w:color="000000" w:themeColor="text1"/>
          <w:right w:val="single" w:sz="8" w:space="0" w:color="000000" w:themeColor="text1"/>
          <w:insideH w:val="nil"/>
          <w:insideV w:val="single" w:sz="8" w:space="0" w:color="000000" w:themeColor="tex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insideH w:val="nil"/>
          <w:insideV w:val="single" w:sz="8" w:space="0" w:color="000000" w:themeColor="tex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C0C0C0" w:themeFill="text1" w:themeFillTint="3F"/>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shd w:val="clear" w:color="auto" w:fill="C0C0C0" w:themeFill="text1" w:themeFillTint="3F"/>
      </w:tcPr>
    </w:tblStylePr>
    <w:tblStylePr w:type="band2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tcPr>
    </w:tblStylePr>
  </w:style>
  <w:style w:type="table" w:styleId="LightGrid-Accent1">
    <w:name w:val="Light Grid Accent 1"/>
    <w:basedOn w:val="TableNormal"/>
    <w:uiPriority w:val="62"/>
    <w:rsid w:val="00CB0664"/>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18" w:space="0" w:color="4F81BD" w:themeColor="accent1"/>
          <w:right w:val="single" w:sz="8" w:space="0" w:color="4F81BD" w:themeColor="accent1"/>
          <w:insideH w:val="nil"/>
          <w:insideV w:val="single" w:sz="8" w:space="0" w:color="4F81BD" w:themeColor="accen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insideH w:val="nil"/>
          <w:insideV w:val="single" w:sz="8" w:space="0" w:color="4F81BD" w:themeColor="accen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shd w:val="clear" w:color="auto" w:fill="D3DFEE" w:themeFill="accent1" w:themeFillTint="3F"/>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shd w:val="clear" w:color="auto" w:fill="D3DFEE" w:themeFill="accent1" w:themeFillTint="3F"/>
      </w:tcPr>
    </w:tblStylePr>
    <w:tblStylePr w:type="band2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tcPr>
    </w:tblStylePr>
  </w:style>
  <w:style w:type="table" w:styleId="LightGrid-Accent2">
    <w:name w:val="Light Grid Accent 2"/>
    <w:basedOn w:val="TableNormal"/>
    <w:uiPriority w:val="62"/>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18" w:space="0" w:color="C0504D" w:themeColor="accent2"/>
          <w:right w:val="single" w:sz="8" w:space="0" w:color="C0504D" w:themeColor="accent2"/>
          <w:insideH w:val="nil"/>
          <w:insideV w:val="single" w:sz="8" w:space="0" w:color="C0504D" w:themeColor="accent2"/>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insideH w:val="nil"/>
          <w:insideV w:val="single" w:sz="8" w:space="0" w:color="C0504D" w:themeColor="accent2"/>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shd w:val="clear" w:color="auto" w:fill="EFD3D2" w:themeFill="accent2" w:themeFillTint="3F"/>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shd w:val="clear" w:color="auto" w:fill="EFD3D2" w:themeFill="accent2" w:themeFillTint="3F"/>
      </w:tcPr>
    </w:tblStylePr>
    <w:tblStylePr w:type="band2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tcPr>
    </w:tblStylePr>
  </w:style>
  <w:style w:type="table" w:styleId="LightGrid-Accent3">
    <w:name w:val="Light Grid Accent 3"/>
    <w:basedOn w:val="TableNormal"/>
    <w:uiPriority w:val="62"/>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18" w:space="0" w:color="9BBB59" w:themeColor="accent3"/>
          <w:right w:val="single" w:sz="8" w:space="0" w:color="9BBB59" w:themeColor="accent3"/>
          <w:insideH w:val="nil"/>
          <w:insideV w:val="single" w:sz="8" w:space="0" w:color="9BBB59" w:themeColor="accent3"/>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insideH w:val="nil"/>
          <w:insideV w:val="single" w:sz="8" w:space="0" w:color="9BBB59" w:themeColor="accent3"/>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shd w:val="clear" w:color="auto" w:fill="E6EED5" w:themeFill="accent3" w:themeFillTint="3F"/>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shd w:val="clear" w:color="auto" w:fill="E6EED5" w:themeFill="accent3" w:themeFillTint="3F"/>
      </w:tcPr>
    </w:tblStylePr>
    <w:tblStylePr w:type="band2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tcPr>
    </w:tblStylePr>
  </w:style>
  <w:style w:type="table" w:styleId="LightGrid-Accent4">
    <w:name w:val="Light Grid Accent 4"/>
    <w:basedOn w:val="TableNormal"/>
    <w:uiPriority w:val="62"/>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18" w:space="0" w:color="8064A2" w:themeColor="accent4"/>
          <w:right w:val="single" w:sz="8" w:space="0" w:color="8064A2" w:themeColor="accent4"/>
          <w:insideH w:val="nil"/>
          <w:insideV w:val="single" w:sz="8" w:space="0" w:color="8064A2" w:themeColor="accent4"/>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insideH w:val="nil"/>
          <w:insideV w:val="single" w:sz="8" w:space="0" w:color="8064A2" w:themeColor="accent4"/>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shd w:val="clear" w:color="auto" w:fill="DFD8E8" w:themeFill="accent4" w:themeFillTint="3F"/>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shd w:val="clear" w:color="auto" w:fill="DFD8E8" w:themeFill="accent4" w:themeFillTint="3F"/>
      </w:tcPr>
    </w:tblStylePr>
    <w:tblStylePr w:type="band2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tcPr>
    </w:tblStylePr>
  </w:style>
  <w:style w:type="table" w:styleId="LightGrid-Accent5">
    <w:name w:val="Light Grid Accent 5"/>
    <w:basedOn w:val="TableNormal"/>
    <w:uiPriority w:val="62"/>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18" w:space="0" w:color="4BACC6" w:themeColor="accent5"/>
          <w:right w:val="single" w:sz="8" w:space="0" w:color="4BACC6" w:themeColor="accent5"/>
          <w:insideH w:val="nil"/>
          <w:insideV w:val="single" w:sz="8" w:space="0" w:color="4BACC6" w:themeColor="accent5"/>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insideH w:val="nil"/>
          <w:insideV w:val="single" w:sz="8" w:space="0" w:color="4BACC6" w:themeColor="accent5"/>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shd w:val="clear" w:color="auto" w:fill="D2EAF1" w:themeFill="accent5" w:themeFillTint="3F"/>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shd w:val="clear" w:color="auto" w:fill="D2EAF1" w:themeFill="accent5" w:themeFillTint="3F"/>
      </w:tcPr>
    </w:tblStylePr>
    <w:tblStylePr w:type="band2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tcPr>
    </w:tblStylePr>
  </w:style>
  <w:style w:type="table" w:styleId="LightGrid-Accent6">
    <w:name w:val="Light Grid Accent 6"/>
    <w:basedOn w:val="TableNormal"/>
    <w:uiPriority w:val="62"/>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18" w:space="0" w:color="F79646" w:themeColor="accent6"/>
          <w:right w:val="single" w:sz="8" w:space="0" w:color="F79646" w:themeColor="accent6"/>
          <w:insideH w:val="nil"/>
          <w:insideV w:val="single" w:sz="8" w:space="0" w:color="F79646" w:themeColor="accent6"/>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insideH w:val="nil"/>
          <w:insideV w:val="single" w:sz="8" w:space="0" w:color="F79646" w:themeColor="accent6"/>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shd w:val="clear" w:color="auto" w:fill="FDE4D0" w:themeFill="accent6" w:themeFillTint="3F"/>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shd w:val="clear" w:color="auto" w:fill="FDE4D0" w:themeFill="accent6" w:themeFillTint="3F"/>
      </w:tcPr>
    </w:tblStylePr>
    <w:tblStylePr w:type="band2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tcPr>
    </w:tblStylePr>
  </w:style>
  <w:style w:type="table" w:styleId="MediumShading1">
    <w:name w:val="Medium Shading 1"/>
    <w:basedOn w:val="TableNormal"/>
    <w:uiPriority w:val="63"/>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shd w:val="clear" w:color="auto" w:fill="000000" w:themeFill="text1"/>
      </w:tcPr>
    </w:tblStylePr>
    <w:tblStylePr w:type="lastRow">
      <w:pPr>
        <w:spacing w:before="0" w:after="0" w:line="240" w:lineRule="auto"/>
      </w:pPr>
      <w:rPr>
        <w:b/>
        <w:bCs/>
      </w:rPr>
      <w:tblPr/>
      <w:tcPr>
        <w:tcBorders>
          <w:top w:val="double" w:sz="6"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tcPr>
    </w:tblStylePr>
    <w:tblStylePr w:type="firstCol">
      <w:rPr>
        <w:b/>
        <w:bCs/>
      </w:rPr>
    </w:tblStylePr>
    <w:tblStylePr w:type="lastCol">
      <w:rPr>
        <w:b/>
        <w:bCs/>
      </w:rPr>
    </w:tblStylePr>
    <w:tblStylePr w:type="band1Vert">
      <w:tblPr/>
      <w:tcPr>
        <w:shd w:val="clear" w:color="auto" w:fill="C0C0C0" w:themeFill="text1" w:themeFillTint="3F"/>
      </w:tcPr>
    </w:tblStylePr>
    <w:tblStylePr w:type="band1Horz">
      <w:tblPr/>
      <w:tcPr>
        <w:tcBorders>
          <w:insideH w:val="nil"/>
          <w:insideV w:val="nil"/>
        </w:tcBorders>
        <w:shd w:val="clear" w:color="auto" w:fill="C0C0C0" w:themeFill="text1" w:themeFillTint="3F"/>
      </w:tcPr>
    </w:tblStylePr>
    <w:tblStylePr w:type="band2Horz">
      <w:tblPr/>
      <w:tcPr>
        <w:tcBorders>
          <w:insideH w:val="nil"/>
          <w:insideV w:val="nil"/>
        </w:tcBorders>
      </w:tcPr>
    </w:tblStylePr>
  </w:style>
  <w:style w:type="table" w:styleId="MediumShading1-Accent1">
    <w:name w:val="Medium Shading 1 Accent 1"/>
    <w:basedOn w:val="TableNormal"/>
    <w:uiPriority w:val="63"/>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shd w:val="clear" w:color="auto" w:fill="4F81BD" w:themeFill="accent1"/>
      </w:tcPr>
    </w:tblStylePr>
    <w:tblStylePr w:type="lastRow">
      <w:pPr>
        <w:spacing w:before="0" w:after="0" w:line="240" w:lineRule="auto"/>
      </w:pPr>
      <w:rPr>
        <w:b/>
        <w:bCs/>
      </w:rPr>
      <w:tblPr/>
      <w:tcPr>
        <w:tcBorders>
          <w:top w:val="double" w:sz="6"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tcPr>
    </w:tblStylePr>
    <w:tblStylePr w:type="firstCol">
      <w:rPr>
        <w:b/>
        <w:bCs/>
      </w:rPr>
    </w:tblStylePr>
    <w:tblStylePr w:type="lastCol">
      <w:rPr>
        <w:b/>
        <w:bCs/>
      </w:rPr>
    </w:tblStylePr>
    <w:tblStylePr w:type="band1Vert">
      <w:tblPr/>
      <w:tcPr>
        <w:shd w:val="clear" w:color="auto" w:fill="D3DFEE" w:themeFill="accent1" w:themeFillTint="3F"/>
      </w:tcPr>
    </w:tblStylePr>
    <w:tblStylePr w:type="band1Horz">
      <w:tblPr/>
      <w:tcPr>
        <w:tcBorders>
          <w:insideH w:val="nil"/>
          <w:insideV w:val="nil"/>
        </w:tcBorders>
        <w:shd w:val="clear" w:color="auto" w:fill="D3DFEE" w:themeFill="accent1" w:themeFillTint="3F"/>
      </w:tcPr>
    </w:tblStylePr>
    <w:tblStylePr w:type="band2Horz">
      <w:tblPr/>
      <w:tcPr>
        <w:tcBorders>
          <w:insideH w:val="nil"/>
          <w:insideV w:val="nil"/>
        </w:tcBorders>
      </w:tcPr>
    </w:tblStylePr>
  </w:style>
  <w:style w:type="table" w:styleId="MediumShading1-Accent2">
    <w:name w:val="Medium Shading 1 Accent 2"/>
    <w:basedOn w:val="TableNormal"/>
    <w:uiPriority w:val="63"/>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shd w:val="clear" w:color="auto" w:fill="C0504D" w:themeFill="accent2"/>
      </w:tcPr>
    </w:tblStylePr>
    <w:tblStylePr w:type="lastRow">
      <w:pPr>
        <w:spacing w:before="0" w:after="0" w:line="240" w:lineRule="auto"/>
      </w:pPr>
      <w:rPr>
        <w:b/>
        <w:bCs/>
      </w:rPr>
      <w:tblPr/>
      <w:tcPr>
        <w:tcBorders>
          <w:top w:val="double" w:sz="6"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tcPr>
    </w:tblStylePr>
    <w:tblStylePr w:type="firstCol">
      <w:rPr>
        <w:b/>
        <w:bCs/>
      </w:rPr>
    </w:tblStylePr>
    <w:tblStylePr w:type="lastCol">
      <w:rPr>
        <w:b/>
        <w:bCs/>
      </w:rPr>
    </w:tblStylePr>
    <w:tblStylePr w:type="band1Vert">
      <w:tblPr/>
      <w:tcPr>
        <w:shd w:val="clear" w:color="auto" w:fill="EFD3D2" w:themeFill="accent2" w:themeFillTint="3F"/>
      </w:tcPr>
    </w:tblStylePr>
    <w:tblStylePr w:type="band1Horz">
      <w:tblPr/>
      <w:tcPr>
        <w:tcBorders>
          <w:insideH w:val="nil"/>
          <w:insideV w:val="nil"/>
        </w:tcBorders>
        <w:shd w:val="clear" w:color="auto" w:fill="EFD3D2" w:themeFill="accent2" w:themeFillTint="3F"/>
      </w:tcPr>
    </w:tblStylePr>
    <w:tblStylePr w:type="band2Horz">
      <w:tblPr/>
      <w:tcPr>
        <w:tcBorders>
          <w:insideH w:val="nil"/>
          <w:insideV w:val="nil"/>
        </w:tcBorders>
      </w:tcPr>
    </w:tblStylePr>
  </w:style>
  <w:style w:type="table" w:styleId="MediumShading1-Accent3">
    <w:name w:val="Medium Shading 1 Accent 3"/>
    <w:basedOn w:val="TableNormal"/>
    <w:uiPriority w:val="63"/>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shd w:val="clear" w:color="auto" w:fill="9BBB59" w:themeFill="accent3"/>
      </w:tcPr>
    </w:tblStylePr>
    <w:tblStylePr w:type="lastRow">
      <w:pPr>
        <w:spacing w:before="0" w:after="0" w:line="240" w:lineRule="auto"/>
      </w:pPr>
      <w:rPr>
        <w:b/>
        <w:bCs/>
      </w:rPr>
      <w:tblPr/>
      <w:tcPr>
        <w:tcBorders>
          <w:top w:val="double" w:sz="6"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tcPr>
    </w:tblStylePr>
    <w:tblStylePr w:type="firstCol">
      <w:rPr>
        <w:b/>
        <w:bCs/>
      </w:rPr>
    </w:tblStylePr>
    <w:tblStylePr w:type="lastCol">
      <w:rPr>
        <w:b/>
        <w:bCs/>
      </w:rPr>
    </w:tblStylePr>
    <w:tblStylePr w:type="band1Vert">
      <w:tblPr/>
      <w:tcPr>
        <w:shd w:val="clear" w:color="auto" w:fill="E6EED5" w:themeFill="accent3" w:themeFillTint="3F"/>
      </w:tcPr>
    </w:tblStylePr>
    <w:tblStylePr w:type="band1Horz">
      <w:tblPr/>
      <w:tcPr>
        <w:tcBorders>
          <w:insideH w:val="nil"/>
          <w:insideV w:val="nil"/>
        </w:tcBorders>
        <w:shd w:val="clear" w:color="auto" w:fill="E6EED5" w:themeFill="accent3" w:themeFillTint="3F"/>
      </w:tcPr>
    </w:tblStylePr>
    <w:tblStylePr w:type="band2Horz">
      <w:tblPr/>
      <w:tcPr>
        <w:tcBorders>
          <w:insideH w:val="nil"/>
          <w:insideV w:val="nil"/>
        </w:tcBorders>
      </w:tcPr>
    </w:tblStylePr>
  </w:style>
  <w:style w:type="table" w:styleId="MediumShading1-Accent4">
    <w:name w:val="Medium Shading 1 Accent 4"/>
    <w:basedOn w:val="TableNormal"/>
    <w:uiPriority w:val="63"/>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shd w:val="clear" w:color="auto" w:fill="8064A2" w:themeFill="accent4"/>
      </w:tcPr>
    </w:tblStylePr>
    <w:tblStylePr w:type="lastRow">
      <w:pPr>
        <w:spacing w:before="0" w:after="0" w:line="240" w:lineRule="auto"/>
      </w:pPr>
      <w:rPr>
        <w:b/>
        <w:bCs/>
      </w:rPr>
      <w:tblPr/>
      <w:tcPr>
        <w:tcBorders>
          <w:top w:val="double" w:sz="6"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tcPr>
    </w:tblStylePr>
    <w:tblStylePr w:type="firstCol">
      <w:rPr>
        <w:b/>
        <w:bCs/>
      </w:rPr>
    </w:tblStylePr>
    <w:tblStylePr w:type="lastCol">
      <w:rPr>
        <w:b/>
        <w:bCs/>
      </w:rPr>
    </w:tblStylePr>
    <w:tblStylePr w:type="band1Vert">
      <w:tblPr/>
      <w:tcPr>
        <w:shd w:val="clear" w:color="auto" w:fill="DFD8E8" w:themeFill="accent4" w:themeFillTint="3F"/>
      </w:tcPr>
    </w:tblStylePr>
    <w:tblStylePr w:type="band1Horz">
      <w:tblPr/>
      <w:tcPr>
        <w:tcBorders>
          <w:insideH w:val="nil"/>
          <w:insideV w:val="nil"/>
        </w:tcBorders>
        <w:shd w:val="clear" w:color="auto" w:fill="DFD8E8" w:themeFill="accent4" w:themeFillTint="3F"/>
      </w:tcPr>
    </w:tblStylePr>
    <w:tblStylePr w:type="band2Horz">
      <w:tblPr/>
      <w:tcPr>
        <w:tcBorders>
          <w:insideH w:val="nil"/>
          <w:insideV w:val="nil"/>
        </w:tcBorders>
      </w:tcPr>
    </w:tblStylePr>
  </w:style>
  <w:style w:type="table" w:styleId="MediumShading1-Accent5">
    <w:name w:val="Medium Shading 1 Accent 5"/>
    <w:basedOn w:val="TableNormal"/>
    <w:uiPriority w:val="63"/>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shd w:val="clear" w:color="auto" w:fill="4BACC6" w:themeFill="accent5"/>
      </w:tcPr>
    </w:tblStylePr>
    <w:tblStylePr w:type="lastRow">
      <w:pPr>
        <w:spacing w:before="0" w:after="0" w:line="240" w:lineRule="auto"/>
      </w:pPr>
      <w:rPr>
        <w:b/>
        <w:bCs/>
      </w:rPr>
      <w:tblPr/>
      <w:tcPr>
        <w:tcBorders>
          <w:top w:val="double" w:sz="6"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tcPr>
    </w:tblStylePr>
    <w:tblStylePr w:type="firstCol">
      <w:rPr>
        <w:b/>
        <w:bCs/>
      </w:rPr>
    </w:tblStylePr>
    <w:tblStylePr w:type="lastCol">
      <w:rPr>
        <w:b/>
        <w:bCs/>
      </w:rPr>
    </w:tblStylePr>
    <w:tblStylePr w:type="band1Vert">
      <w:tblPr/>
      <w:tcPr>
        <w:shd w:val="clear" w:color="auto" w:fill="D2EAF1" w:themeFill="accent5" w:themeFillTint="3F"/>
      </w:tcPr>
    </w:tblStylePr>
    <w:tblStylePr w:type="band1Horz">
      <w:tblPr/>
      <w:tcPr>
        <w:tcBorders>
          <w:insideH w:val="nil"/>
          <w:insideV w:val="nil"/>
        </w:tcBorders>
        <w:shd w:val="clear" w:color="auto" w:fill="D2EAF1" w:themeFill="accent5" w:themeFillTint="3F"/>
      </w:tcPr>
    </w:tblStylePr>
    <w:tblStylePr w:type="band2Horz">
      <w:tblPr/>
      <w:tcPr>
        <w:tcBorders>
          <w:insideH w:val="nil"/>
          <w:insideV w:val="nil"/>
        </w:tcBorders>
      </w:tcPr>
    </w:tblStylePr>
  </w:style>
  <w:style w:type="table" w:styleId="MediumShading1-Accent6">
    <w:name w:val="Medium Shading 1 Accent 6"/>
    <w:basedOn w:val="TableNormal"/>
    <w:uiPriority w:val="63"/>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shd w:val="clear" w:color="auto" w:fill="F79646" w:themeFill="accent6"/>
      </w:tcPr>
    </w:tblStylePr>
    <w:tblStylePr w:type="lastRow">
      <w:pPr>
        <w:spacing w:before="0" w:after="0" w:line="240" w:lineRule="auto"/>
      </w:pPr>
      <w:rPr>
        <w:b/>
        <w:bCs/>
      </w:rPr>
      <w:tblPr/>
      <w:tcPr>
        <w:tcBorders>
          <w:top w:val="double" w:sz="6"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tcPr>
    </w:tblStylePr>
    <w:tblStylePr w:type="firstCol">
      <w:rPr>
        <w:b/>
        <w:bCs/>
      </w:rPr>
    </w:tblStylePr>
    <w:tblStylePr w:type="lastCol">
      <w:rPr>
        <w:b/>
        <w:bCs/>
      </w:rPr>
    </w:tblStylePr>
    <w:tblStylePr w:type="band1Vert">
      <w:tblPr/>
      <w:tcPr>
        <w:shd w:val="clear" w:color="auto" w:fill="FDE4D0" w:themeFill="accent6" w:themeFillTint="3F"/>
      </w:tcPr>
    </w:tblStylePr>
    <w:tblStylePr w:type="band1Horz">
      <w:tblPr/>
      <w:tcPr>
        <w:tcBorders>
          <w:insideH w:val="nil"/>
          <w:insideV w:val="nil"/>
        </w:tcBorders>
        <w:shd w:val="clear" w:color="auto" w:fill="FDE4D0" w:themeFill="accent6" w:themeFillTint="3F"/>
      </w:tcPr>
    </w:tblStylePr>
    <w:tblStylePr w:type="band2Horz">
      <w:tblPr/>
      <w:tcPr>
        <w:tcBorders>
          <w:insideH w:val="nil"/>
          <w:insideV w:val="nil"/>
        </w:tcBorders>
      </w:tcPr>
    </w:tblStylePr>
  </w:style>
  <w:style w:type="table" w:styleId="MediumShading2">
    <w:name w:val="Medium Shading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000000" w:themeFill="tex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000000" w:themeFill="text1"/>
      </w:tcPr>
    </w:tblStylePr>
    <w:tblStylePr w:type="lastCol">
      <w:rPr>
        <w:b/>
        <w:bCs/>
        <w:color w:val="FFFFFF" w:themeColor="background1"/>
      </w:rPr>
      <w:tblPr/>
      <w:tcPr>
        <w:tcBorders>
          <w:left w:val="nil"/>
          <w:right w:val="nil"/>
          <w:insideH w:val="nil"/>
          <w:insideV w:val="nil"/>
        </w:tcBorders>
        <w:shd w:val="clear" w:color="auto" w:fill="000000" w:themeFill="tex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1">
    <w:name w:val="Medium Shading 2 Accent 1"/>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F81BD" w:themeFill="accen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F81BD" w:themeFill="accent1"/>
      </w:tcPr>
    </w:tblStylePr>
    <w:tblStylePr w:type="lastCol">
      <w:rPr>
        <w:b/>
        <w:bCs/>
        <w:color w:val="FFFFFF" w:themeColor="background1"/>
      </w:rPr>
      <w:tblPr/>
      <w:tcPr>
        <w:tcBorders>
          <w:left w:val="nil"/>
          <w:right w:val="nil"/>
          <w:insideH w:val="nil"/>
          <w:insideV w:val="nil"/>
        </w:tcBorders>
        <w:shd w:val="clear" w:color="auto" w:fill="4F81BD" w:themeFill="accen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2">
    <w:name w:val="Medium Shading 2 Accent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C0504D" w:themeFill="accent2"/>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C0504D" w:themeFill="accent2"/>
      </w:tcPr>
    </w:tblStylePr>
    <w:tblStylePr w:type="lastCol">
      <w:rPr>
        <w:b/>
        <w:bCs/>
        <w:color w:val="FFFFFF" w:themeColor="background1"/>
      </w:rPr>
      <w:tblPr/>
      <w:tcPr>
        <w:tcBorders>
          <w:left w:val="nil"/>
          <w:right w:val="nil"/>
          <w:insideH w:val="nil"/>
          <w:insideV w:val="nil"/>
        </w:tcBorders>
        <w:shd w:val="clear" w:color="auto" w:fill="C0504D" w:themeFill="accent2"/>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3">
    <w:name w:val="Medium Shading 2 Accent 3"/>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9BBB59" w:themeFill="accent3"/>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9BBB59" w:themeFill="accent3"/>
      </w:tcPr>
    </w:tblStylePr>
    <w:tblStylePr w:type="lastCol">
      <w:rPr>
        <w:b/>
        <w:bCs/>
        <w:color w:val="FFFFFF" w:themeColor="background1"/>
      </w:rPr>
      <w:tblPr/>
      <w:tcPr>
        <w:tcBorders>
          <w:left w:val="nil"/>
          <w:right w:val="nil"/>
          <w:insideH w:val="nil"/>
          <w:insideV w:val="nil"/>
        </w:tcBorders>
        <w:shd w:val="clear" w:color="auto" w:fill="9BBB59" w:themeFill="accent3"/>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4">
    <w:name w:val="Medium Shading 2 Accent 4"/>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8064A2" w:themeFill="accent4"/>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8064A2" w:themeFill="accent4"/>
      </w:tcPr>
    </w:tblStylePr>
    <w:tblStylePr w:type="lastCol">
      <w:rPr>
        <w:b/>
        <w:bCs/>
        <w:color w:val="FFFFFF" w:themeColor="background1"/>
      </w:rPr>
      <w:tblPr/>
      <w:tcPr>
        <w:tcBorders>
          <w:left w:val="nil"/>
          <w:right w:val="nil"/>
          <w:insideH w:val="nil"/>
          <w:insideV w:val="nil"/>
        </w:tcBorders>
        <w:shd w:val="clear" w:color="auto" w:fill="8064A2" w:themeFill="accent4"/>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5">
    <w:name w:val="Medium Shading 2 Accent 5"/>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BACC6" w:themeFill="accent5"/>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BACC6" w:themeFill="accent5"/>
      </w:tcPr>
    </w:tblStylePr>
    <w:tblStylePr w:type="lastCol">
      <w:rPr>
        <w:b/>
        <w:bCs/>
        <w:color w:val="FFFFFF" w:themeColor="background1"/>
      </w:rPr>
      <w:tblPr/>
      <w:tcPr>
        <w:tcBorders>
          <w:left w:val="nil"/>
          <w:right w:val="nil"/>
          <w:insideH w:val="nil"/>
          <w:insideV w:val="nil"/>
        </w:tcBorders>
        <w:shd w:val="clear" w:color="auto" w:fill="4BACC6" w:themeFill="accent5"/>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6">
    <w:name w:val="Medium Shading 2 Accent 6"/>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F79646" w:themeFill="accent6"/>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F79646" w:themeFill="accent6"/>
      </w:tcPr>
    </w:tblStylePr>
    <w:tblStylePr w:type="lastCol">
      <w:rPr>
        <w:b/>
        <w:bCs/>
        <w:color w:val="FFFFFF" w:themeColor="background1"/>
      </w:rPr>
      <w:tblPr/>
      <w:tcPr>
        <w:tcBorders>
          <w:left w:val="nil"/>
          <w:right w:val="nil"/>
          <w:insideH w:val="nil"/>
          <w:insideV w:val="nil"/>
        </w:tcBorders>
        <w:shd w:val="clear" w:color="auto" w:fill="F79646" w:themeFill="accent6"/>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List1">
    <w:name w:val="Medium Lis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000000" w:themeColor="text1"/>
        </w:tcBorders>
      </w:tcPr>
    </w:tblStylePr>
    <w:tblStylePr w:type="lastRow">
      <w:rPr>
        <w:b/>
        <w:bCs/>
        <w:color w:val="1F497D" w:themeColor="text2"/>
      </w:rPr>
      <w:tblPr/>
      <w:tcPr>
        <w:tcBorders>
          <w:top w:val="single" w:sz="8" w:space="0" w:color="000000" w:themeColor="text1"/>
          <w:bottom w:val="single" w:sz="8" w:space="0" w:color="000000" w:themeColor="text1"/>
        </w:tcBorders>
      </w:tcPr>
    </w:tblStylePr>
    <w:tblStylePr w:type="firstCol">
      <w:rPr>
        <w:b/>
        <w:bCs/>
      </w:rPr>
    </w:tblStylePr>
    <w:tblStylePr w:type="lastCol">
      <w:rPr>
        <w:b/>
        <w:bCs/>
      </w:rPr>
      <w:tblPr/>
      <w:tcPr>
        <w:tcBorders>
          <w:top w:val="single" w:sz="8" w:space="0" w:color="000000" w:themeColor="text1"/>
          <w:bottom w:val="single" w:sz="8" w:space="0" w:color="000000" w:themeColor="text1"/>
        </w:tcBorders>
      </w:tcPr>
    </w:tblStylePr>
    <w:tblStylePr w:type="band1Vert">
      <w:tblPr/>
      <w:tcPr>
        <w:shd w:val="clear" w:color="auto" w:fill="C0C0C0" w:themeFill="text1" w:themeFillTint="3F"/>
      </w:tcPr>
    </w:tblStylePr>
    <w:tblStylePr w:type="band1Horz">
      <w:tblPr/>
      <w:tcPr>
        <w:shd w:val="clear" w:color="auto" w:fill="C0C0C0" w:themeFill="text1" w:themeFillTint="3F"/>
      </w:tcPr>
    </w:tblStylePr>
  </w:style>
  <w:style w:type="table" w:styleId="MediumList1-Accent1">
    <w:name w:val="Medium List 1 Accen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F81BD" w:themeColor="accent1"/>
        </w:tcBorders>
      </w:tcPr>
    </w:tblStylePr>
    <w:tblStylePr w:type="lastRow">
      <w:rPr>
        <w:b/>
        <w:bCs/>
        <w:color w:val="1F497D" w:themeColor="text2"/>
      </w:rPr>
      <w:tblPr/>
      <w:tcPr>
        <w:tcBorders>
          <w:top w:val="single" w:sz="8" w:space="0" w:color="4F81BD" w:themeColor="accent1"/>
          <w:bottom w:val="single" w:sz="8" w:space="0" w:color="4F81BD" w:themeColor="accent1"/>
        </w:tcBorders>
      </w:tcPr>
    </w:tblStylePr>
    <w:tblStylePr w:type="firstCol">
      <w:rPr>
        <w:b/>
        <w:bCs/>
      </w:rPr>
    </w:tblStylePr>
    <w:tblStylePr w:type="lastCol">
      <w:rPr>
        <w:b/>
        <w:bCs/>
      </w:rPr>
      <w:tblPr/>
      <w:tcPr>
        <w:tcBorders>
          <w:top w:val="single" w:sz="8" w:space="0" w:color="4F81BD" w:themeColor="accent1"/>
          <w:bottom w:val="single" w:sz="8" w:space="0" w:color="4F81BD" w:themeColor="accent1"/>
        </w:tcBorders>
      </w:tcPr>
    </w:tblStylePr>
    <w:tblStylePr w:type="band1Vert">
      <w:tblPr/>
      <w:tcPr>
        <w:shd w:val="clear" w:color="auto" w:fill="D3DFEE" w:themeFill="accent1" w:themeFillTint="3F"/>
      </w:tcPr>
    </w:tblStylePr>
    <w:tblStylePr w:type="band1Horz">
      <w:tblPr/>
      <w:tcPr>
        <w:shd w:val="clear" w:color="auto" w:fill="D3DFEE" w:themeFill="accent1" w:themeFillTint="3F"/>
      </w:tcPr>
    </w:tblStylePr>
  </w:style>
  <w:style w:type="table" w:styleId="MediumList1-Accent2">
    <w:name w:val="Medium List 1 Accent 2"/>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C0504D" w:themeColor="accent2"/>
        </w:tcBorders>
      </w:tcPr>
    </w:tblStylePr>
    <w:tblStylePr w:type="lastRow">
      <w:rPr>
        <w:b/>
        <w:bCs/>
        <w:color w:val="1F497D" w:themeColor="text2"/>
      </w:rPr>
      <w:tblPr/>
      <w:tcPr>
        <w:tcBorders>
          <w:top w:val="single" w:sz="8" w:space="0" w:color="C0504D" w:themeColor="accent2"/>
          <w:bottom w:val="single" w:sz="8" w:space="0" w:color="C0504D" w:themeColor="accent2"/>
        </w:tcBorders>
      </w:tcPr>
    </w:tblStylePr>
    <w:tblStylePr w:type="firstCol">
      <w:rPr>
        <w:b/>
        <w:bCs/>
      </w:rPr>
    </w:tblStylePr>
    <w:tblStylePr w:type="lastCol">
      <w:rPr>
        <w:b/>
        <w:bCs/>
      </w:rPr>
      <w:tblPr/>
      <w:tcPr>
        <w:tcBorders>
          <w:top w:val="single" w:sz="8" w:space="0" w:color="C0504D" w:themeColor="accent2"/>
          <w:bottom w:val="single" w:sz="8" w:space="0" w:color="C0504D" w:themeColor="accent2"/>
        </w:tcBorders>
      </w:tcPr>
    </w:tblStylePr>
    <w:tblStylePr w:type="band1Vert">
      <w:tblPr/>
      <w:tcPr>
        <w:shd w:val="clear" w:color="auto" w:fill="EFD3D2" w:themeFill="accent2" w:themeFillTint="3F"/>
      </w:tcPr>
    </w:tblStylePr>
    <w:tblStylePr w:type="band1Horz">
      <w:tblPr/>
      <w:tcPr>
        <w:shd w:val="clear" w:color="auto" w:fill="EFD3D2" w:themeFill="accent2" w:themeFillTint="3F"/>
      </w:tcPr>
    </w:tblStylePr>
  </w:style>
  <w:style w:type="table" w:styleId="MediumList1-Accent3">
    <w:name w:val="Medium List 1 Accent 3"/>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9BBB59" w:themeColor="accent3"/>
        </w:tcBorders>
      </w:tcPr>
    </w:tblStylePr>
    <w:tblStylePr w:type="lastRow">
      <w:rPr>
        <w:b/>
        <w:bCs/>
        <w:color w:val="1F497D" w:themeColor="text2"/>
      </w:rPr>
      <w:tblPr/>
      <w:tcPr>
        <w:tcBorders>
          <w:top w:val="single" w:sz="8" w:space="0" w:color="9BBB59" w:themeColor="accent3"/>
          <w:bottom w:val="single" w:sz="8" w:space="0" w:color="9BBB59" w:themeColor="accent3"/>
        </w:tcBorders>
      </w:tcPr>
    </w:tblStylePr>
    <w:tblStylePr w:type="firstCol">
      <w:rPr>
        <w:b/>
        <w:bCs/>
      </w:rPr>
    </w:tblStylePr>
    <w:tblStylePr w:type="lastCol">
      <w:rPr>
        <w:b/>
        <w:bCs/>
      </w:rPr>
      <w:tblPr/>
      <w:tcPr>
        <w:tcBorders>
          <w:top w:val="single" w:sz="8" w:space="0" w:color="9BBB59" w:themeColor="accent3"/>
          <w:bottom w:val="single" w:sz="8" w:space="0" w:color="9BBB59" w:themeColor="accent3"/>
        </w:tcBorders>
      </w:tcPr>
    </w:tblStylePr>
    <w:tblStylePr w:type="band1Vert">
      <w:tblPr/>
      <w:tcPr>
        <w:shd w:val="clear" w:color="auto" w:fill="E6EED5" w:themeFill="accent3" w:themeFillTint="3F"/>
      </w:tcPr>
    </w:tblStylePr>
    <w:tblStylePr w:type="band1Horz">
      <w:tblPr/>
      <w:tcPr>
        <w:shd w:val="clear" w:color="auto" w:fill="E6EED5" w:themeFill="accent3" w:themeFillTint="3F"/>
      </w:tcPr>
    </w:tblStylePr>
  </w:style>
  <w:style w:type="table" w:styleId="MediumList1-Accent4">
    <w:name w:val="Medium List 1 Accent 4"/>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8064A2" w:themeColor="accent4"/>
        </w:tcBorders>
      </w:tcPr>
    </w:tblStylePr>
    <w:tblStylePr w:type="lastRow">
      <w:rPr>
        <w:b/>
        <w:bCs/>
        <w:color w:val="1F497D" w:themeColor="text2"/>
      </w:rPr>
      <w:tblPr/>
      <w:tcPr>
        <w:tcBorders>
          <w:top w:val="single" w:sz="8" w:space="0" w:color="8064A2" w:themeColor="accent4"/>
          <w:bottom w:val="single" w:sz="8" w:space="0" w:color="8064A2" w:themeColor="accent4"/>
        </w:tcBorders>
      </w:tcPr>
    </w:tblStylePr>
    <w:tblStylePr w:type="firstCol">
      <w:rPr>
        <w:b/>
        <w:bCs/>
      </w:rPr>
    </w:tblStylePr>
    <w:tblStylePr w:type="lastCol">
      <w:rPr>
        <w:b/>
        <w:bCs/>
      </w:rPr>
      <w:tblPr/>
      <w:tcPr>
        <w:tcBorders>
          <w:top w:val="single" w:sz="8" w:space="0" w:color="8064A2" w:themeColor="accent4"/>
          <w:bottom w:val="single" w:sz="8" w:space="0" w:color="8064A2" w:themeColor="accent4"/>
        </w:tcBorders>
      </w:tcPr>
    </w:tblStylePr>
    <w:tblStylePr w:type="band1Vert">
      <w:tblPr/>
      <w:tcPr>
        <w:shd w:val="clear" w:color="auto" w:fill="DFD8E8" w:themeFill="accent4" w:themeFillTint="3F"/>
      </w:tcPr>
    </w:tblStylePr>
    <w:tblStylePr w:type="band1Horz">
      <w:tblPr/>
      <w:tcPr>
        <w:shd w:val="clear" w:color="auto" w:fill="DFD8E8" w:themeFill="accent4" w:themeFillTint="3F"/>
      </w:tcPr>
    </w:tblStylePr>
  </w:style>
  <w:style w:type="table" w:styleId="MediumList1-Accent5">
    <w:name w:val="Medium List 1 Accent 5"/>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BACC6" w:themeColor="accent5"/>
        </w:tcBorders>
      </w:tcPr>
    </w:tblStylePr>
    <w:tblStylePr w:type="lastRow">
      <w:rPr>
        <w:b/>
        <w:bCs/>
        <w:color w:val="1F497D" w:themeColor="text2"/>
      </w:rPr>
      <w:tblPr/>
      <w:tcPr>
        <w:tcBorders>
          <w:top w:val="single" w:sz="8" w:space="0" w:color="4BACC6" w:themeColor="accent5"/>
          <w:bottom w:val="single" w:sz="8" w:space="0" w:color="4BACC6" w:themeColor="accent5"/>
        </w:tcBorders>
      </w:tcPr>
    </w:tblStylePr>
    <w:tblStylePr w:type="firstCol">
      <w:rPr>
        <w:b/>
        <w:bCs/>
      </w:rPr>
    </w:tblStylePr>
    <w:tblStylePr w:type="lastCol">
      <w:rPr>
        <w:b/>
        <w:bCs/>
      </w:rPr>
      <w:tblPr/>
      <w:tcPr>
        <w:tcBorders>
          <w:top w:val="single" w:sz="8" w:space="0" w:color="4BACC6" w:themeColor="accent5"/>
          <w:bottom w:val="single" w:sz="8" w:space="0" w:color="4BACC6" w:themeColor="accent5"/>
        </w:tcBorders>
      </w:tcPr>
    </w:tblStylePr>
    <w:tblStylePr w:type="band1Vert">
      <w:tblPr/>
      <w:tcPr>
        <w:shd w:val="clear" w:color="auto" w:fill="D2EAF1" w:themeFill="accent5" w:themeFillTint="3F"/>
      </w:tcPr>
    </w:tblStylePr>
    <w:tblStylePr w:type="band1Horz">
      <w:tblPr/>
      <w:tcPr>
        <w:shd w:val="clear" w:color="auto" w:fill="D2EAF1" w:themeFill="accent5" w:themeFillTint="3F"/>
      </w:tcPr>
    </w:tblStylePr>
  </w:style>
  <w:style w:type="table" w:styleId="MediumList1-Accent6">
    <w:name w:val="Medium List 1 Accent 6"/>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F79646" w:themeColor="accent6"/>
        </w:tcBorders>
      </w:tcPr>
    </w:tblStylePr>
    <w:tblStylePr w:type="lastRow">
      <w:rPr>
        <w:b/>
        <w:bCs/>
        <w:color w:val="1F497D" w:themeColor="text2"/>
      </w:rPr>
      <w:tblPr/>
      <w:tcPr>
        <w:tcBorders>
          <w:top w:val="single" w:sz="8" w:space="0" w:color="F79646" w:themeColor="accent6"/>
          <w:bottom w:val="single" w:sz="8" w:space="0" w:color="F79646" w:themeColor="accent6"/>
        </w:tcBorders>
      </w:tcPr>
    </w:tblStylePr>
    <w:tblStylePr w:type="firstCol">
      <w:rPr>
        <w:b/>
        <w:bCs/>
      </w:rPr>
    </w:tblStylePr>
    <w:tblStylePr w:type="lastCol">
      <w:rPr>
        <w:b/>
        <w:bCs/>
      </w:rPr>
      <w:tblPr/>
      <w:tcPr>
        <w:tcBorders>
          <w:top w:val="single" w:sz="8" w:space="0" w:color="F79646" w:themeColor="accent6"/>
          <w:bottom w:val="single" w:sz="8" w:space="0" w:color="F79646" w:themeColor="accent6"/>
        </w:tcBorders>
      </w:tcPr>
    </w:tblStylePr>
    <w:tblStylePr w:type="band1Vert">
      <w:tblPr/>
      <w:tcPr>
        <w:shd w:val="clear" w:color="auto" w:fill="FDE4D0" w:themeFill="accent6" w:themeFillTint="3F"/>
      </w:tcPr>
    </w:tblStylePr>
    <w:tblStylePr w:type="band1Horz">
      <w:tblPr/>
      <w:tcPr>
        <w:shd w:val="clear" w:color="auto" w:fill="FDE4D0" w:themeFill="accent6" w:themeFillTint="3F"/>
      </w:tcPr>
    </w:tblStylePr>
  </w:style>
  <w:style w:type="table" w:styleId="MediumList2">
    <w:name w:val="Medium Lis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rPr>
        <w:sz w:val="24"/>
        <w:szCs w:val="24"/>
      </w:rPr>
      <w:tblPr/>
      <w:tcPr>
        <w:tcBorders>
          <w:top w:val="nil"/>
          <w:left w:val="nil"/>
          <w:bottom w:val="single" w:sz="24" w:space="0" w:color="000000" w:themeColor="text1"/>
          <w:right w:val="nil"/>
          <w:insideH w:val="nil"/>
          <w:insideV w:val="nil"/>
        </w:tcBorders>
        <w:shd w:val="clear" w:color="auto" w:fill="FFFFFF" w:themeFill="background1"/>
      </w:tcPr>
    </w:tblStylePr>
    <w:tblStylePr w:type="lastRow">
      <w:tblPr/>
      <w:tcPr>
        <w:tcBorders>
          <w:top w:val="single" w:sz="8" w:space="0" w:color="000000" w:themeColor="tex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000000" w:themeColor="text1"/>
          <w:insideH w:val="nil"/>
          <w:insideV w:val="nil"/>
        </w:tcBorders>
        <w:shd w:val="clear" w:color="auto" w:fill="FFFFFF" w:themeFill="background1"/>
      </w:tcPr>
    </w:tblStylePr>
    <w:tblStylePr w:type="lastCol">
      <w:tblPr/>
      <w:tcPr>
        <w:tcBorders>
          <w:top w:val="nil"/>
          <w:left w:val="single" w:sz="8" w:space="0" w:color="000000" w:themeColor="tex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top w:val="nil"/>
          <w:bottom w:val="nil"/>
          <w:insideH w:val="nil"/>
          <w:insideV w:val="nil"/>
        </w:tcBorders>
        <w:shd w:val="clear" w:color="auto" w:fill="C0C0C0" w:themeFill="tex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1">
    <w:name w:val="Medium List 2 Accent 1"/>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rPr>
        <w:sz w:val="24"/>
        <w:szCs w:val="24"/>
      </w:rPr>
      <w:tblPr/>
      <w:tcPr>
        <w:tcBorders>
          <w:top w:val="nil"/>
          <w:left w:val="nil"/>
          <w:bottom w:val="single" w:sz="24" w:space="0" w:color="4F81BD" w:themeColor="accent1"/>
          <w:right w:val="nil"/>
          <w:insideH w:val="nil"/>
          <w:insideV w:val="nil"/>
        </w:tcBorders>
        <w:shd w:val="clear" w:color="auto" w:fill="FFFFFF" w:themeFill="background1"/>
      </w:tcPr>
    </w:tblStylePr>
    <w:tblStylePr w:type="lastRow">
      <w:tblPr/>
      <w:tcPr>
        <w:tcBorders>
          <w:top w:val="single" w:sz="8" w:space="0" w:color="4F81BD" w:themeColor="accen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F81BD" w:themeColor="accent1"/>
          <w:insideH w:val="nil"/>
          <w:insideV w:val="nil"/>
        </w:tcBorders>
        <w:shd w:val="clear" w:color="auto" w:fill="FFFFFF" w:themeFill="background1"/>
      </w:tcPr>
    </w:tblStylePr>
    <w:tblStylePr w:type="lastCol">
      <w:tblPr/>
      <w:tcPr>
        <w:tcBorders>
          <w:top w:val="nil"/>
          <w:left w:val="single" w:sz="8" w:space="0" w:color="4F81BD" w:themeColor="accen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top w:val="nil"/>
          <w:bottom w:val="nil"/>
          <w:insideH w:val="nil"/>
          <w:insideV w:val="nil"/>
        </w:tcBorders>
        <w:shd w:val="clear" w:color="auto" w:fill="D3DFEE" w:themeFill="accen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2">
    <w:name w:val="Medium List 2 Accen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rPr>
        <w:sz w:val="24"/>
        <w:szCs w:val="24"/>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tblPr/>
      <w:tcPr>
        <w:tcBorders>
          <w:top w:val="single" w:sz="8" w:space="0" w:color="C0504D" w:themeColor="accent2"/>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C0504D" w:themeColor="accent2"/>
          <w:insideH w:val="nil"/>
          <w:insideV w:val="nil"/>
        </w:tcBorders>
        <w:shd w:val="clear" w:color="auto" w:fill="FFFFFF" w:themeFill="background1"/>
      </w:tcPr>
    </w:tblStylePr>
    <w:tblStylePr w:type="lastCol">
      <w:tblPr/>
      <w:tcPr>
        <w:tcBorders>
          <w:top w:val="nil"/>
          <w:left w:val="single" w:sz="8" w:space="0" w:color="C0504D" w:themeColor="accent2"/>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top w:val="nil"/>
          <w:bottom w:val="nil"/>
          <w:insideH w:val="nil"/>
          <w:insideV w:val="nil"/>
        </w:tcBorders>
        <w:shd w:val="clear" w:color="auto" w:fill="EFD3D2" w:themeFill="accent2"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3">
    <w:name w:val="Medium List 2 Accent 3"/>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rPr>
        <w:sz w:val="24"/>
        <w:szCs w:val="24"/>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tblPr/>
      <w:tcPr>
        <w:tcBorders>
          <w:top w:val="single" w:sz="8" w:space="0" w:color="9BBB59" w:themeColor="accent3"/>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9BBB59" w:themeColor="accent3"/>
          <w:insideH w:val="nil"/>
          <w:insideV w:val="nil"/>
        </w:tcBorders>
        <w:shd w:val="clear" w:color="auto" w:fill="FFFFFF" w:themeFill="background1"/>
      </w:tcPr>
    </w:tblStylePr>
    <w:tblStylePr w:type="lastCol">
      <w:tblPr/>
      <w:tcPr>
        <w:tcBorders>
          <w:top w:val="nil"/>
          <w:left w:val="single" w:sz="8" w:space="0" w:color="9BBB59" w:themeColor="accent3"/>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top w:val="nil"/>
          <w:bottom w:val="nil"/>
          <w:insideH w:val="nil"/>
          <w:insideV w:val="nil"/>
        </w:tcBorders>
        <w:shd w:val="clear" w:color="auto" w:fill="E6EED5" w:themeFill="accent3"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4">
    <w:name w:val="Medium List 2 Accent 4"/>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rPr>
        <w:sz w:val="24"/>
        <w:szCs w:val="24"/>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tblPr/>
      <w:tcPr>
        <w:tcBorders>
          <w:top w:val="single" w:sz="8" w:space="0" w:color="8064A2" w:themeColor="accent4"/>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8064A2" w:themeColor="accent4"/>
          <w:insideH w:val="nil"/>
          <w:insideV w:val="nil"/>
        </w:tcBorders>
        <w:shd w:val="clear" w:color="auto" w:fill="FFFFFF" w:themeFill="background1"/>
      </w:tcPr>
    </w:tblStylePr>
    <w:tblStylePr w:type="lastCol">
      <w:tblPr/>
      <w:tcPr>
        <w:tcBorders>
          <w:top w:val="nil"/>
          <w:left w:val="single" w:sz="8" w:space="0" w:color="8064A2" w:themeColor="accent4"/>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top w:val="nil"/>
          <w:bottom w:val="nil"/>
          <w:insideH w:val="nil"/>
          <w:insideV w:val="nil"/>
        </w:tcBorders>
        <w:shd w:val="clear" w:color="auto" w:fill="DFD8E8" w:themeFill="accent4"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5">
    <w:name w:val="Medium List 2 Accent 5"/>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rPr>
        <w:sz w:val="24"/>
        <w:szCs w:val="24"/>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tblPr/>
      <w:tcPr>
        <w:tcBorders>
          <w:top w:val="single" w:sz="8" w:space="0" w:color="4BACC6" w:themeColor="accent5"/>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BACC6" w:themeColor="accent5"/>
          <w:insideH w:val="nil"/>
          <w:insideV w:val="nil"/>
        </w:tcBorders>
        <w:shd w:val="clear" w:color="auto" w:fill="FFFFFF" w:themeFill="background1"/>
      </w:tcPr>
    </w:tblStylePr>
    <w:tblStylePr w:type="lastCol">
      <w:tblPr/>
      <w:tcPr>
        <w:tcBorders>
          <w:top w:val="nil"/>
          <w:left w:val="single" w:sz="8" w:space="0" w:color="4BACC6" w:themeColor="accent5"/>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top w:val="nil"/>
          <w:bottom w:val="nil"/>
          <w:insideH w:val="nil"/>
          <w:insideV w:val="nil"/>
        </w:tcBorders>
        <w:shd w:val="clear" w:color="auto" w:fill="D2EAF1" w:themeFill="accent5"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6">
    <w:name w:val="Medium List 2 Accent 6"/>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rPr>
        <w:sz w:val="24"/>
        <w:szCs w:val="24"/>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tblPr/>
      <w:tcPr>
        <w:tcBorders>
          <w:top w:val="single" w:sz="8" w:space="0" w:color="F79646" w:themeColor="accent6"/>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F79646" w:themeColor="accent6"/>
          <w:insideH w:val="nil"/>
          <w:insideV w:val="nil"/>
        </w:tcBorders>
        <w:shd w:val="clear" w:color="auto" w:fill="FFFFFF" w:themeFill="background1"/>
      </w:tcPr>
    </w:tblStylePr>
    <w:tblStylePr w:type="lastCol">
      <w:tblPr/>
      <w:tcPr>
        <w:tcBorders>
          <w:top w:val="nil"/>
          <w:left w:val="single" w:sz="8" w:space="0" w:color="F79646" w:themeColor="accent6"/>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top w:val="nil"/>
          <w:bottom w:val="nil"/>
          <w:insideH w:val="nil"/>
          <w:insideV w:val="nil"/>
        </w:tcBorders>
        <w:shd w:val="clear" w:color="auto" w:fill="FDE4D0" w:themeFill="accent6"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Grid1">
    <w:name w:val="Medium Grid 1"/>
    <w:basedOn w:val="TableNormal"/>
    <w:uiPriority w:val="67"/>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insideV w:val="single" w:sz="8" w:space="0" w:color="404040" w:themeColor="text1" w:themeTint="BF"/>
      </w:tblBorders>
      <w:tblCellMar>
        <w:top w:w="0" w:type="dxa"/>
        <w:left w:w="108" w:type="dxa"/>
        <w:bottom w:w="0" w:type="dxa"/>
        <w:right w:w="108" w:type="dxa"/>
      </w:tblCellMar>
    </w:tblPr>
    <w:tcPr>
      <w:shd w:val="clear" w:color="auto" w:fill="C0C0C0" w:themeFill="text1" w:themeFillTint="3F"/>
    </w:tcPr>
    <w:tblStylePr w:type="firstRow">
      <w:rPr>
        <w:b/>
        <w:bCs/>
      </w:rPr>
    </w:tblStylePr>
    <w:tblStylePr w:type="lastRow">
      <w:rPr>
        <w:b/>
        <w:bCs/>
      </w:rPr>
      <w:tblPr/>
      <w:tcPr>
        <w:tcBorders>
          <w:top w:val="single" w:sz="18" w:space="0" w:color="404040" w:themeColor="text1" w:themeTint="BF"/>
        </w:tcBorders>
      </w:tcPr>
    </w:tblStylePr>
    <w:tblStylePr w:type="firstCol">
      <w:rPr>
        <w:b/>
        <w:bCs/>
      </w:rPr>
    </w:tblStylePr>
    <w:tblStylePr w:type="lastCol">
      <w:rPr>
        <w:b/>
        <w:bCs/>
      </w:r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MediumGrid1-Accent1">
    <w:name w:val="Medium Grid 1 Accent 1"/>
    <w:basedOn w:val="TableNormal"/>
    <w:uiPriority w:val="67"/>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insideV w:val="single" w:sz="8" w:space="0" w:color="7BA0CD" w:themeColor="accent1" w:themeTint="BF"/>
      </w:tblBorders>
      <w:tblCellMar>
        <w:top w:w="0" w:type="dxa"/>
        <w:left w:w="108" w:type="dxa"/>
        <w:bottom w:w="0" w:type="dxa"/>
        <w:right w:w="108" w:type="dxa"/>
      </w:tblCellMar>
    </w:tblPr>
    <w:tcPr>
      <w:shd w:val="clear" w:color="auto" w:fill="D3DFEE" w:themeFill="accent1" w:themeFillTint="3F"/>
    </w:tcPr>
    <w:tblStylePr w:type="firstRow">
      <w:rPr>
        <w:b/>
        <w:bCs/>
      </w:rPr>
    </w:tblStylePr>
    <w:tblStylePr w:type="lastRow">
      <w:rPr>
        <w:b/>
        <w:bCs/>
      </w:rPr>
      <w:tblPr/>
      <w:tcPr>
        <w:tcBorders>
          <w:top w:val="single" w:sz="18" w:space="0" w:color="7BA0CD" w:themeColor="accent1" w:themeTint="BF"/>
        </w:tcBorders>
      </w:tcPr>
    </w:tblStylePr>
    <w:tblStylePr w:type="firstCol">
      <w:rPr>
        <w:b/>
        <w:bCs/>
      </w:rPr>
    </w:tblStylePr>
    <w:tblStylePr w:type="lastCol">
      <w:rPr>
        <w:b/>
        <w:bCs/>
      </w:r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MediumGrid1-Accent2">
    <w:name w:val="Medium Grid 1 Accent 2"/>
    <w:basedOn w:val="TableNormal"/>
    <w:uiPriority w:val="67"/>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insideV w:val="single" w:sz="8" w:space="0" w:color="CF7B79" w:themeColor="accent2" w:themeTint="BF"/>
      </w:tblBorders>
      <w:tblCellMar>
        <w:top w:w="0" w:type="dxa"/>
        <w:left w:w="108" w:type="dxa"/>
        <w:bottom w:w="0" w:type="dxa"/>
        <w:right w:w="108" w:type="dxa"/>
      </w:tblCellMar>
    </w:tblPr>
    <w:tcPr>
      <w:shd w:val="clear" w:color="auto" w:fill="EFD3D2" w:themeFill="accent2" w:themeFillTint="3F"/>
    </w:tcPr>
    <w:tblStylePr w:type="firstRow">
      <w:rPr>
        <w:b/>
        <w:bCs/>
      </w:rPr>
    </w:tblStylePr>
    <w:tblStylePr w:type="lastRow">
      <w:rPr>
        <w:b/>
        <w:bCs/>
      </w:rPr>
      <w:tblPr/>
      <w:tcPr>
        <w:tcBorders>
          <w:top w:val="single" w:sz="18" w:space="0" w:color="CF7B79" w:themeColor="accent2" w:themeTint="BF"/>
        </w:tcBorders>
      </w:tcPr>
    </w:tblStylePr>
    <w:tblStylePr w:type="firstCol">
      <w:rPr>
        <w:b/>
        <w:bCs/>
      </w:rPr>
    </w:tblStylePr>
    <w:tblStylePr w:type="lastCol">
      <w:rPr>
        <w:b/>
        <w:bCs/>
      </w:r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MediumGrid1-Accent3">
    <w:name w:val="Medium Grid 1 Accent 3"/>
    <w:basedOn w:val="TableNormal"/>
    <w:uiPriority w:val="67"/>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insideV w:val="single" w:sz="8" w:space="0" w:color="B3CC82" w:themeColor="accent3" w:themeTint="BF"/>
      </w:tblBorders>
      <w:tblCellMar>
        <w:top w:w="0" w:type="dxa"/>
        <w:left w:w="108" w:type="dxa"/>
        <w:bottom w:w="0" w:type="dxa"/>
        <w:right w:w="108" w:type="dxa"/>
      </w:tblCellMar>
    </w:tblPr>
    <w:tcPr>
      <w:shd w:val="clear" w:color="auto" w:fill="E6EED5" w:themeFill="accent3" w:themeFillTint="3F"/>
    </w:tcPr>
    <w:tblStylePr w:type="firstRow">
      <w:rPr>
        <w:b/>
        <w:bCs/>
      </w:rPr>
    </w:tblStylePr>
    <w:tblStylePr w:type="lastRow">
      <w:rPr>
        <w:b/>
        <w:bCs/>
      </w:rPr>
      <w:tblPr/>
      <w:tcPr>
        <w:tcBorders>
          <w:top w:val="single" w:sz="18" w:space="0" w:color="B3CC82" w:themeColor="accent3" w:themeTint="BF"/>
        </w:tcBorders>
      </w:tcPr>
    </w:tblStylePr>
    <w:tblStylePr w:type="firstCol">
      <w:rPr>
        <w:b/>
        <w:bCs/>
      </w:rPr>
    </w:tblStylePr>
    <w:tblStylePr w:type="lastCol">
      <w:rPr>
        <w:b/>
        <w:bCs/>
      </w:r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MediumGrid1-Accent4">
    <w:name w:val="Medium Grid 1 Accent 4"/>
    <w:basedOn w:val="TableNormal"/>
    <w:uiPriority w:val="67"/>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insideV w:val="single" w:sz="8" w:space="0" w:color="9F8AB9" w:themeColor="accent4" w:themeTint="BF"/>
      </w:tblBorders>
      <w:tblCellMar>
        <w:top w:w="0" w:type="dxa"/>
        <w:left w:w="108" w:type="dxa"/>
        <w:bottom w:w="0" w:type="dxa"/>
        <w:right w:w="108" w:type="dxa"/>
      </w:tblCellMar>
    </w:tblPr>
    <w:tcPr>
      <w:shd w:val="clear" w:color="auto" w:fill="DFD8E8" w:themeFill="accent4" w:themeFillTint="3F"/>
    </w:tcPr>
    <w:tblStylePr w:type="firstRow">
      <w:rPr>
        <w:b/>
        <w:bCs/>
      </w:rPr>
    </w:tblStylePr>
    <w:tblStylePr w:type="lastRow">
      <w:rPr>
        <w:b/>
        <w:bCs/>
      </w:rPr>
      <w:tblPr/>
      <w:tcPr>
        <w:tcBorders>
          <w:top w:val="single" w:sz="18" w:space="0" w:color="9F8AB9" w:themeColor="accent4" w:themeTint="BF"/>
        </w:tcBorders>
      </w:tcPr>
    </w:tblStylePr>
    <w:tblStylePr w:type="firstCol">
      <w:rPr>
        <w:b/>
        <w:bCs/>
      </w:rPr>
    </w:tblStylePr>
    <w:tblStylePr w:type="lastCol">
      <w:rPr>
        <w:b/>
        <w:bCs/>
      </w:r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MediumGrid1-Accent5">
    <w:name w:val="Medium Grid 1 Accent 5"/>
    <w:basedOn w:val="TableNormal"/>
    <w:uiPriority w:val="67"/>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insideV w:val="single" w:sz="8" w:space="0" w:color="78C0D4" w:themeColor="accent5" w:themeTint="BF"/>
      </w:tblBorders>
      <w:tblCellMar>
        <w:top w:w="0" w:type="dxa"/>
        <w:left w:w="108" w:type="dxa"/>
        <w:bottom w:w="0" w:type="dxa"/>
        <w:right w:w="108" w:type="dxa"/>
      </w:tblCellMar>
    </w:tblPr>
    <w:tcPr>
      <w:shd w:val="clear" w:color="auto" w:fill="D2EAF1" w:themeFill="accent5" w:themeFillTint="3F"/>
    </w:tcPr>
    <w:tblStylePr w:type="firstRow">
      <w:rPr>
        <w:b/>
        <w:bCs/>
      </w:rPr>
    </w:tblStylePr>
    <w:tblStylePr w:type="lastRow">
      <w:rPr>
        <w:b/>
        <w:bCs/>
      </w:rPr>
      <w:tblPr/>
      <w:tcPr>
        <w:tcBorders>
          <w:top w:val="single" w:sz="18" w:space="0" w:color="78C0D4" w:themeColor="accent5" w:themeTint="BF"/>
        </w:tcBorders>
      </w:tcPr>
    </w:tblStylePr>
    <w:tblStylePr w:type="firstCol">
      <w:rPr>
        <w:b/>
        <w:bCs/>
      </w:rPr>
    </w:tblStylePr>
    <w:tblStylePr w:type="lastCol">
      <w:rPr>
        <w:b/>
        <w:bCs/>
      </w:r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MediumGrid1-Accent6">
    <w:name w:val="Medium Grid 1 Accent 6"/>
    <w:basedOn w:val="TableNormal"/>
    <w:uiPriority w:val="67"/>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insideV w:val="single" w:sz="8" w:space="0" w:color="F9B074" w:themeColor="accent6" w:themeTint="BF"/>
      </w:tblBorders>
      <w:tblCellMar>
        <w:top w:w="0" w:type="dxa"/>
        <w:left w:w="108" w:type="dxa"/>
        <w:bottom w:w="0" w:type="dxa"/>
        <w:right w:w="108" w:type="dxa"/>
      </w:tblCellMar>
    </w:tblPr>
    <w:tcPr>
      <w:shd w:val="clear" w:color="auto" w:fill="FDE4D0" w:themeFill="accent6" w:themeFillTint="3F"/>
    </w:tcPr>
    <w:tblStylePr w:type="firstRow">
      <w:rPr>
        <w:b/>
        <w:bCs/>
      </w:rPr>
    </w:tblStylePr>
    <w:tblStylePr w:type="lastRow">
      <w:rPr>
        <w:b/>
        <w:bCs/>
      </w:rPr>
      <w:tblPr/>
      <w:tcPr>
        <w:tcBorders>
          <w:top w:val="single" w:sz="18" w:space="0" w:color="F9B074" w:themeColor="accent6" w:themeTint="BF"/>
        </w:tcBorders>
      </w:tcPr>
    </w:tblStylePr>
    <w:tblStylePr w:type="firstCol">
      <w:rPr>
        <w:b/>
        <w:bCs/>
      </w:rPr>
    </w:tblStylePr>
    <w:tblStylePr w:type="lastCol">
      <w:rPr>
        <w:b/>
        <w:bCs/>
      </w:r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table" w:styleId="MediumGrid2">
    <w:name w:val="Medium Grid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cPr>
      <w:shd w:val="clear" w:color="auto" w:fill="C0C0C0" w:themeFill="text1" w:themeFillTint="3F"/>
    </w:tcPr>
    <w:tblStylePr w:type="firstRow">
      <w:rPr>
        <w:b/>
        <w:bCs/>
        <w:color w:val="000000" w:themeColor="text1"/>
      </w:rPr>
      <w:tblPr/>
      <w:tcPr>
        <w:shd w:val="clear" w:color="auto" w:fill="E6E6E6" w:themeFill="tex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CCCCC" w:themeFill="text1" w:themeFillTint="33"/>
      </w:tcPr>
    </w:tblStylePr>
    <w:tblStylePr w:type="band1Vert">
      <w:tblPr/>
      <w:tcPr>
        <w:shd w:val="clear" w:color="auto" w:fill="808080" w:themeFill="text1" w:themeFillTint="7F"/>
      </w:tcPr>
    </w:tblStylePr>
    <w:tblStylePr w:type="band1Horz">
      <w:tblPr/>
      <w:tcPr>
        <w:tcBorders>
          <w:insideH w:val="single" w:sz="6" w:space="0" w:color="000000" w:themeColor="text1"/>
          <w:insideV w:val="single" w:sz="6" w:space="0" w:color="000000" w:themeColor="text1"/>
        </w:tcBorders>
        <w:shd w:val="clear" w:color="auto" w:fill="808080" w:themeFill="text1" w:themeFillTint="7F"/>
      </w:tcPr>
    </w:tblStylePr>
    <w:tblStylePr w:type="nwCell">
      <w:tblPr/>
      <w:tcPr>
        <w:shd w:val="clear" w:color="auto" w:fill="FFFFFF" w:themeFill="background1"/>
      </w:tcPr>
    </w:tblStylePr>
  </w:style>
  <w:style w:type="table" w:styleId="MediumGrid2-Accent1">
    <w:name w:val="Medium Grid 2 Accent 1"/>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cPr>
      <w:shd w:val="clear" w:color="auto" w:fill="D3DFEE" w:themeFill="accent1" w:themeFillTint="3F"/>
    </w:tcPr>
    <w:tblStylePr w:type="firstRow">
      <w:rPr>
        <w:b/>
        <w:bCs/>
        <w:color w:val="000000" w:themeColor="text1"/>
      </w:rPr>
      <w:tblPr/>
      <w:tcPr>
        <w:shd w:val="clear" w:color="auto" w:fill="EDF2F8" w:themeFill="accen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BE5F1" w:themeFill="accent1" w:themeFillTint="33"/>
      </w:tcPr>
    </w:tblStylePr>
    <w:tblStylePr w:type="band1Vert">
      <w:tblPr/>
      <w:tcPr>
        <w:shd w:val="clear" w:color="auto" w:fill="A7BFDE" w:themeFill="accent1" w:themeFillTint="7F"/>
      </w:tcPr>
    </w:tblStylePr>
    <w:tblStylePr w:type="band1Horz">
      <w:tblPr/>
      <w:tcPr>
        <w:tcBorders>
          <w:insideH w:val="single" w:sz="6" w:space="0" w:color="4F81BD" w:themeColor="accent1"/>
          <w:insideV w:val="single" w:sz="6" w:space="0" w:color="4F81BD" w:themeColor="accent1"/>
        </w:tcBorders>
        <w:shd w:val="clear" w:color="auto" w:fill="A7BFDE" w:themeFill="accent1" w:themeFillTint="7F"/>
      </w:tcPr>
    </w:tblStylePr>
    <w:tblStylePr w:type="nwCell">
      <w:tblPr/>
      <w:tcPr>
        <w:shd w:val="clear" w:color="auto" w:fill="FFFFFF" w:themeFill="background1"/>
      </w:tcPr>
    </w:tblStylePr>
  </w:style>
  <w:style w:type="table" w:styleId="MediumGrid2-Accent2">
    <w:name w:val="Medium Grid 2 Accent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cPr>
      <w:shd w:val="clear" w:color="auto" w:fill="EFD3D2" w:themeFill="accent2" w:themeFillTint="3F"/>
    </w:tcPr>
    <w:tblStylePr w:type="firstRow">
      <w:rPr>
        <w:b/>
        <w:bCs/>
        <w:color w:val="000000" w:themeColor="text1"/>
      </w:rPr>
      <w:tblPr/>
      <w:tcPr>
        <w:shd w:val="clear" w:color="auto" w:fill="F8EDED" w:themeFill="accent2"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2DBDB" w:themeFill="accent2" w:themeFillTint="33"/>
      </w:tcPr>
    </w:tblStylePr>
    <w:tblStylePr w:type="band1Vert">
      <w:tblPr/>
      <w:tcPr>
        <w:shd w:val="clear" w:color="auto" w:fill="DFA7A6" w:themeFill="accent2" w:themeFillTint="7F"/>
      </w:tcPr>
    </w:tblStylePr>
    <w:tblStylePr w:type="band1Horz">
      <w:tblPr/>
      <w:tcPr>
        <w:tcBorders>
          <w:insideH w:val="single" w:sz="6" w:space="0" w:color="C0504D" w:themeColor="accent2"/>
          <w:insideV w:val="single" w:sz="6" w:space="0" w:color="C0504D" w:themeColor="accent2"/>
        </w:tcBorders>
        <w:shd w:val="clear" w:color="auto" w:fill="DFA7A6" w:themeFill="accent2" w:themeFillTint="7F"/>
      </w:tcPr>
    </w:tblStylePr>
    <w:tblStylePr w:type="nwCell">
      <w:tblPr/>
      <w:tcPr>
        <w:shd w:val="clear" w:color="auto" w:fill="FFFFFF" w:themeFill="background1"/>
      </w:tcPr>
    </w:tblStylePr>
  </w:style>
  <w:style w:type="table" w:styleId="MediumGrid2-Accent3">
    <w:name w:val="Medium Grid 2 Accent 3"/>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cPr>
      <w:shd w:val="clear" w:color="auto" w:fill="E6EED5" w:themeFill="accent3" w:themeFillTint="3F"/>
    </w:tcPr>
    <w:tblStylePr w:type="firstRow">
      <w:rPr>
        <w:b/>
        <w:bCs/>
        <w:color w:val="000000" w:themeColor="text1"/>
      </w:rPr>
      <w:tblPr/>
      <w:tcPr>
        <w:shd w:val="clear" w:color="auto" w:fill="F5F8EE" w:themeFill="accent3"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AF1DD" w:themeFill="accent3" w:themeFillTint="33"/>
      </w:tcPr>
    </w:tblStylePr>
    <w:tblStylePr w:type="band1Vert">
      <w:tblPr/>
      <w:tcPr>
        <w:shd w:val="clear" w:color="auto" w:fill="CDDDAC" w:themeFill="accent3" w:themeFillTint="7F"/>
      </w:tcPr>
    </w:tblStylePr>
    <w:tblStylePr w:type="band1Horz">
      <w:tblPr/>
      <w:tcPr>
        <w:tcBorders>
          <w:insideH w:val="single" w:sz="6" w:space="0" w:color="9BBB59" w:themeColor="accent3"/>
          <w:insideV w:val="single" w:sz="6" w:space="0" w:color="9BBB59" w:themeColor="accent3"/>
        </w:tcBorders>
        <w:shd w:val="clear" w:color="auto" w:fill="CDDDAC" w:themeFill="accent3" w:themeFillTint="7F"/>
      </w:tcPr>
    </w:tblStylePr>
    <w:tblStylePr w:type="nwCell">
      <w:tblPr/>
      <w:tcPr>
        <w:shd w:val="clear" w:color="auto" w:fill="FFFFFF" w:themeFill="background1"/>
      </w:tcPr>
    </w:tblStylePr>
  </w:style>
  <w:style w:type="table" w:styleId="MediumGrid2-Accent4">
    <w:name w:val="Medium Grid 2 Accent 4"/>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cPr>
      <w:shd w:val="clear" w:color="auto" w:fill="DFD8E8" w:themeFill="accent4" w:themeFillTint="3F"/>
    </w:tcPr>
    <w:tblStylePr w:type="firstRow">
      <w:rPr>
        <w:b/>
        <w:bCs/>
        <w:color w:val="000000" w:themeColor="text1"/>
      </w:rPr>
      <w:tblPr/>
      <w:tcPr>
        <w:shd w:val="clear" w:color="auto" w:fill="F2EFF6" w:themeFill="accent4"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5DFEC" w:themeFill="accent4" w:themeFillTint="33"/>
      </w:tcPr>
    </w:tblStylePr>
    <w:tblStylePr w:type="band1Vert">
      <w:tblPr/>
      <w:tcPr>
        <w:shd w:val="clear" w:color="auto" w:fill="BFB1D0" w:themeFill="accent4" w:themeFillTint="7F"/>
      </w:tcPr>
    </w:tblStylePr>
    <w:tblStylePr w:type="band1Horz">
      <w:tblPr/>
      <w:tcPr>
        <w:tcBorders>
          <w:insideH w:val="single" w:sz="6" w:space="0" w:color="8064A2" w:themeColor="accent4"/>
          <w:insideV w:val="single" w:sz="6" w:space="0" w:color="8064A2" w:themeColor="accent4"/>
        </w:tcBorders>
        <w:shd w:val="clear" w:color="auto" w:fill="BFB1D0" w:themeFill="accent4" w:themeFillTint="7F"/>
      </w:tcPr>
    </w:tblStylePr>
    <w:tblStylePr w:type="nwCell">
      <w:tblPr/>
      <w:tcPr>
        <w:shd w:val="clear" w:color="auto" w:fill="FFFFFF" w:themeFill="background1"/>
      </w:tcPr>
    </w:tblStylePr>
  </w:style>
  <w:style w:type="table" w:styleId="MediumGrid2-Accent5">
    <w:name w:val="Medium Grid 2 Accent 5"/>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cPr>
      <w:shd w:val="clear" w:color="auto" w:fill="D2EAF1" w:themeFill="accent5" w:themeFillTint="3F"/>
    </w:tcPr>
    <w:tblStylePr w:type="firstRow">
      <w:rPr>
        <w:b/>
        <w:bCs/>
        <w:color w:val="000000" w:themeColor="text1"/>
      </w:rPr>
      <w:tblPr/>
      <w:tcPr>
        <w:shd w:val="clear" w:color="auto" w:fill="EDF6F9" w:themeFill="accent5"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AEEF3" w:themeFill="accent5" w:themeFillTint="33"/>
      </w:tcPr>
    </w:tblStylePr>
    <w:tblStylePr w:type="band1Vert">
      <w:tblPr/>
      <w:tcPr>
        <w:shd w:val="clear" w:color="auto" w:fill="A5D5E2" w:themeFill="accent5" w:themeFillTint="7F"/>
      </w:tcPr>
    </w:tblStylePr>
    <w:tblStylePr w:type="band1Horz">
      <w:tblPr/>
      <w:tcPr>
        <w:tcBorders>
          <w:insideH w:val="single" w:sz="6" w:space="0" w:color="4BACC6" w:themeColor="accent5"/>
          <w:insideV w:val="single" w:sz="6" w:space="0" w:color="4BACC6" w:themeColor="accent5"/>
        </w:tcBorders>
        <w:shd w:val="clear" w:color="auto" w:fill="A5D5E2" w:themeFill="accent5" w:themeFillTint="7F"/>
      </w:tcPr>
    </w:tblStylePr>
    <w:tblStylePr w:type="nwCell">
      <w:tblPr/>
      <w:tcPr>
        <w:shd w:val="clear" w:color="auto" w:fill="FFFFFF" w:themeFill="background1"/>
      </w:tcPr>
    </w:tblStylePr>
  </w:style>
  <w:style w:type="table" w:styleId="MediumGrid2-Accent6">
    <w:name w:val="Medium Grid 2 Accent 6"/>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cPr>
      <w:shd w:val="clear" w:color="auto" w:fill="FDE4D0" w:themeFill="accent6" w:themeFillTint="3F"/>
    </w:tcPr>
    <w:tblStylePr w:type="firstRow">
      <w:rPr>
        <w:b/>
        <w:bCs/>
        <w:color w:val="000000" w:themeColor="text1"/>
      </w:rPr>
      <w:tblPr/>
      <w:tcPr>
        <w:shd w:val="clear" w:color="auto" w:fill="FEF4EC" w:themeFill="accent6"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DE9D9" w:themeFill="accent6" w:themeFillTint="33"/>
      </w:tcPr>
    </w:tblStylePr>
    <w:tblStylePr w:type="band1Vert">
      <w:tblPr/>
      <w:tcPr>
        <w:shd w:val="clear" w:color="auto" w:fill="FBCAA2" w:themeFill="accent6" w:themeFillTint="7F"/>
      </w:tcPr>
    </w:tblStylePr>
    <w:tblStylePr w:type="band1Horz">
      <w:tblPr/>
      <w:tcPr>
        <w:tcBorders>
          <w:insideH w:val="single" w:sz="6" w:space="0" w:color="F79646" w:themeColor="accent6"/>
          <w:insideV w:val="single" w:sz="6" w:space="0" w:color="F79646" w:themeColor="accent6"/>
        </w:tcBorders>
        <w:shd w:val="clear" w:color="auto" w:fill="FBCAA2" w:themeFill="accent6" w:themeFillTint="7F"/>
      </w:tcPr>
    </w:tblStylePr>
    <w:tblStylePr w:type="nwCell">
      <w:tblPr/>
      <w:tcPr>
        <w:shd w:val="clear" w:color="auto" w:fill="FFFFFF" w:themeFill="background1"/>
      </w:tcPr>
    </w:tblStylePr>
  </w:style>
  <w:style w:type="table" w:styleId="MediumGrid3">
    <w:name w:val="Medium Grid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C0C0C0" w:themeFill="tex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000000" w:themeFill="tex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000000" w:themeFill="tex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808080" w:themeFill="tex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808080" w:themeFill="text1" w:themeFillTint="7F"/>
      </w:tcPr>
    </w:tblStylePr>
  </w:style>
  <w:style w:type="table" w:styleId="MediumGrid3-Accent1">
    <w:name w:val="Medium Grid 3 Accent 1"/>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3DFEE" w:themeFill="accen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F81BD" w:themeFill="accen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F81BD" w:themeFill="accen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7BFDE" w:themeFill="accen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7BFDE" w:themeFill="accent1" w:themeFillTint="7F"/>
      </w:tcPr>
    </w:tblStylePr>
  </w:style>
  <w:style w:type="table" w:styleId="MediumGrid3-Accent2">
    <w:name w:val="Medium Grid 3 Accent 2"/>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FD3D2" w:themeFill="accent2"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C0504D" w:themeFill="accent2"/>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C0504D" w:themeFill="accent2"/>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DFA7A6" w:themeFill="accent2"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DFA7A6" w:themeFill="accent2" w:themeFillTint="7F"/>
      </w:tcPr>
    </w:tblStylePr>
  </w:style>
  <w:style w:type="table" w:styleId="MediumGrid3-Accent3">
    <w:name w:val="Medium Grid 3 Accent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6EED5" w:themeFill="accent3"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9BBB59" w:themeFill="accent3"/>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9BBB59" w:themeFill="accent3"/>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CDDDAC" w:themeFill="accent3"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CDDDAC" w:themeFill="accent3" w:themeFillTint="7F"/>
      </w:tcPr>
    </w:tblStylePr>
  </w:style>
  <w:style w:type="table" w:styleId="MediumGrid3-Accent4">
    <w:name w:val="Medium Grid 3 Accent 4"/>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FD8E8" w:themeFill="accent4"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8064A2" w:themeFill="accent4"/>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8064A2" w:themeFill="accent4"/>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BFB1D0" w:themeFill="accent4"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BFB1D0" w:themeFill="accent4" w:themeFillTint="7F"/>
      </w:tcPr>
    </w:tblStylePr>
  </w:style>
  <w:style w:type="table" w:styleId="MediumGrid3-Accent5">
    <w:name w:val="Medium Grid 3 Accent 5"/>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2EAF1" w:themeFill="accent5"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BACC6" w:themeFill="accent5"/>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BACC6" w:themeFill="accent5"/>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5D5E2" w:themeFill="accent5"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5D5E2" w:themeFill="accent5" w:themeFillTint="7F"/>
      </w:tcPr>
    </w:tblStylePr>
  </w:style>
  <w:style w:type="table" w:styleId="MediumGrid3-Accent6">
    <w:name w:val="Medium Grid 3 Accent 6"/>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FDE4D0" w:themeFill="accent6"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F79646" w:themeFill="accent6"/>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F79646" w:themeFill="accent6"/>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FBCAA2" w:themeFill="accent6"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FBCAA2" w:themeFill="accent6" w:themeFillTint="7F"/>
      </w:tcPr>
    </w:tblStylePr>
  </w:style>
  <w:style w:type="table" w:styleId="DarkList">
    <w:name w:val="Dark List"/>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000000" w:themeFill="tex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00000" w:themeFill="text1" w:themeFillShade="7F"/>
      </w:tcPr>
    </w:tblStylePr>
    <w:tblStylePr w:type="firstCol">
      <w:tblPr/>
      <w:tcPr>
        <w:tcBorders>
          <w:top w:val="nil"/>
          <w:left w:val="nil"/>
          <w:bottom w:val="nil"/>
          <w:right w:val="single" w:sz="18" w:space="0" w:color="FFFFFF" w:themeColor="background1"/>
          <w:insideH w:val="nil"/>
          <w:insideV w:val="nil"/>
        </w:tcBorders>
        <w:shd w:val="clear" w:color="auto" w:fill="000000" w:themeFill="text1" w:themeFillShade="BF"/>
      </w:tcPr>
    </w:tblStylePr>
    <w:tblStylePr w:type="lastCol">
      <w:tblPr/>
      <w:tcPr>
        <w:tcBorders>
          <w:top w:val="nil"/>
          <w:left w:val="single" w:sz="18" w:space="0" w:color="FFFFFF" w:themeColor="background1"/>
          <w:bottom w:val="nil"/>
          <w:right w:val="nil"/>
          <w:insideH w:val="nil"/>
          <w:insideV w:val="nil"/>
        </w:tcBorders>
        <w:shd w:val="clear" w:color="auto" w:fill="000000" w:themeFill="text1" w:themeFillShade="BF"/>
      </w:tcPr>
    </w:tblStylePr>
    <w:tblStylePr w:type="band1Vert">
      <w:tblPr/>
      <w:tcPr>
        <w:tcBorders>
          <w:top w:val="nil"/>
          <w:left w:val="nil"/>
          <w:bottom w:val="nil"/>
          <w:right w:val="nil"/>
          <w:insideH w:val="nil"/>
          <w:insideV w:val="nil"/>
        </w:tcBorders>
        <w:shd w:val="clear" w:color="auto" w:fill="000000" w:themeFill="text1" w:themeFillShade="BF"/>
      </w:tcPr>
    </w:tblStylePr>
    <w:tblStylePr w:type="band1Horz">
      <w:tblPr/>
      <w:tcPr>
        <w:tcBorders>
          <w:top w:val="nil"/>
          <w:left w:val="nil"/>
          <w:bottom w:val="nil"/>
          <w:right w:val="nil"/>
          <w:insideH w:val="nil"/>
          <w:insideV w:val="nil"/>
        </w:tcBorders>
        <w:shd w:val="clear" w:color="auto" w:fill="000000" w:themeFill="text1" w:themeFillShade="BF"/>
      </w:tcPr>
    </w:tblStylePr>
  </w:style>
  <w:style w:type="table" w:styleId="DarkList-Accent1">
    <w:name w:val="Dark List Accent 1"/>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F81BD" w:themeFill="accen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43F60" w:themeFill="accent1" w:themeFillShade="7F"/>
      </w:tcPr>
    </w:tblStylePr>
    <w:tblStylePr w:type="firstCol">
      <w:tblPr/>
      <w:tcPr>
        <w:tcBorders>
          <w:top w:val="nil"/>
          <w:left w:val="nil"/>
          <w:bottom w:val="nil"/>
          <w:right w:val="single" w:sz="18" w:space="0" w:color="FFFFFF" w:themeColor="background1"/>
          <w:insideH w:val="nil"/>
          <w:insideV w:val="nil"/>
        </w:tcBorders>
        <w:shd w:val="clear" w:color="auto" w:fill="365F91" w:themeFill="accent1" w:themeFillShade="BF"/>
      </w:tcPr>
    </w:tblStylePr>
    <w:tblStylePr w:type="lastCol">
      <w:tblPr/>
      <w:tcPr>
        <w:tcBorders>
          <w:top w:val="nil"/>
          <w:left w:val="single" w:sz="18" w:space="0" w:color="FFFFFF" w:themeColor="background1"/>
          <w:bottom w:val="nil"/>
          <w:right w:val="nil"/>
          <w:insideH w:val="nil"/>
          <w:insideV w:val="nil"/>
        </w:tcBorders>
        <w:shd w:val="clear" w:color="auto" w:fill="365F91" w:themeFill="accent1" w:themeFillShade="BF"/>
      </w:tcPr>
    </w:tblStylePr>
    <w:tblStylePr w:type="band1Vert">
      <w:tblPr/>
      <w:tcPr>
        <w:tcBorders>
          <w:top w:val="nil"/>
          <w:left w:val="nil"/>
          <w:bottom w:val="nil"/>
          <w:right w:val="nil"/>
          <w:insideH w:val="nil"/>
          <w:insideV w:val="nil"/>
        </w:tcBorders>
        <w:shd w:val="clear" w:color="auto" w:fill="365F91" w:themeFill="accent1" w:themeFillShade="BF"/>
      </w:tcPr>
    </w:tblStylePr>
    <w:tblStylePr w:type="band1Horz">
      <w:tblPr/>
      <w:tcPr>
        <w:tcBorders>
          <w:top w:val="nil"/>
          <w:left w:val="nil"/>
          <w:bottom w:val="nil"/>
          <w:right w:val="nil"/>
          <w:insideH w:val="nil"/>
          <w:insideV w:val="nil"/>
        </w:tcBorders>
        <w:shd w:val="clear" w:color="auto" w:fill="365F91" w:themeFill="accent1" w:themeFillShade="BF"/>
      </w:tcPr>
    </w:tblStylePr>
  </w:style>
  <w:style w:type="table" w:styleId="DarkList-Accent2">
    <w:name w:val="Dark List Accent 2"/>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C0504D" w:themeFill="accent2"/>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622423" w:themeFill="accent2" w:themeFillShade="7F"/>
      </w:tcPr>
    </w:tblStylePr>
    <w:tblStylePr w:type="firstCol">
      <w:tblPr/>
      <w:tcPr>
        <w:tcBorders>
          <w:top w:val="nil"/>
          <w:left w:val="nil"/>
          <w:bottom w:val="nil"/>
          <w:right w:val="single" w:sz="18" w:space="0" w:color="FFFFFF" w:themeColor="background1"/>
          <w:insideH w:val="nil"/>
          <w:insideV w:val="nil"/>
        </w:tcBorders>
        <w:shd w:val="clear" w:color="auto" w:fill="943634" w:themeFill="accent2" w:themeFillShade="BF"/>
      </w:tcPr>
    </w:tblStylePr>
    <w:tblStylePr w:type="lastCol">
      <w:tblPr/>
      <w:tcPr>
        <w:tcBorders>
          <w:top w:val="nil"/>
          <w:left w:val="single" w:sz="18" w:space="0" w:color="FFFFFF" w:themeColor="background1"/>
          <w:bottom w:val="nil"/>
          <w:right w:val="nil"/>
          <w:insideH w:val="nil"/>
          <w:insideV w:val="nil"/>
        </w:tcBorders>
        <w:shd w:val="clear" w:color="auto" w:fill="943634" w:themeFill="accent2" w:themeFillShade="BF"/>
      </w:tcPr>
    </w:tblStylePr>
    <w:tblStylePr w:type="band1Vert">
      <w:tblPr/>
      <w:tcPr>
        <w:tcBorders>
          <w:top w:val="nil"/>
          <w:left w:val="nil"/>
          <w:bottom w:val="nil"/>
          <w:right w:val="nil"/>
          <w:insideH w:val="nil"/>
          <w:insideV w:val="nil"/>
        </w:tcBorders>
        <w:shd w:val="clear" w:color="auto" w:fill="943634" w:themeFill="accent2" w:themeFillShade="BF"/>
      </w:tcPr>
    </w:tblStylePr>
    <w:tblStylePr w:type="band1Horz">
      <w:tblPr/>
      <w:tcPr>
        <w:tcBorders>
          <w:top w:val="nil"/>
          <w:left w:val="nil"/>
          <w:bottom w:val="nil"/>
          <w:right w:val="nil"/>
          <w:insideH w:val="nil"/>
          <w:insideV w:val="nil"/>
        </w:tcBorders>
        <w:shd w:val="clear" w:color="auto" w:fill="943634" w:themeFill="accent2" w:themeFillShade="BF"/>
      </w:tcPr>
    </w:tblStylePr>
  </w:style>
  <w:style w:type="table" w:styleId="DarkList-Accent3">
    <w:name w:val="Dark List Accent 3"/>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9BBB59" w:themeFill="accent3"/>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4E6128" w:themeFill="accent3" w:themeFillShade="7F"/>
      </w:tcPr>
    </w:tblStylePr>
    <w:tblStylePr w:type="firstCol">
      <w:tblPr/>
      <w:tcPr>
        <w:tcBorders>
          <w:top w:val="nil"/>
          <w:left w:val="nil"/>
          <w:bottom w:val="nil"/>
          <w:right w:val="single" w:sz="18" w:space="0" w:color="FFFFFF" w:themeColor="background1"/>
          <w:insideH w:val="nil"/>
          <w:insideV w:val="nil"/>
        </w:tcBorders>
        <w:shd w:val="clear" w:color="auto" w:fill="76923C" w:themeFill="accent3" w:themeFillShade="BF"/>
      </w:tcPr>
    </w:tblStylePr>
    <w:tblStylePr w:type="lastCol">
      <w:tblPr/>
      <w:tcPr>
        <w:tcBorders>
          <w:top w:val="nil"/>
          <w:left w:val="single" w:sz="18" w:space="0" w:color="FFFFFF" w:themeColor="background1"/>
          <w:bottom w:val="nil"/>
          <w:right w:val="nil"/>
          <w:insideH w:val="nil"/>
          <w:insideV w:val="nil"/>
        </w:tcBorders>
        <w:shd w:val="clear" w:color="auto" w:fill="76923C" w:themeFill="accent3" w:themeFillShade="BF"/>
      </w:tcPr>
    </w:tblStylePr>
    <w:tblStylePr w:type="band1Vert">
      <w:tblPr/>
      <w:tcPr>
        <w:tcBorders>
          <w:top w:val="nil"/>
          <w:left w:val="nil"/>
          <w:bottom w:val="nil"/>
          <w:right w:val="nil"/>
          <w:insideH w:val="nil"/>
          <w:insideV w:val="nil"/>
        </w:tcBorders>
        <w:shd w:val="clear" w:color="auto" w:fill="76923C" w:themeFill="accent3" w:themeFillShade="BF"/>
      </w:tcPr>
    </w:tblStylePr>
    <w:tblStylePr w:type="band1Horz">
      <w:tblPr/>
      <w:tcPr>
        <w:tcBorders>
          <w:top w:val="nil"/>
          <w:left w:val="nil"/>
          <w:bottom w:val="nil"/>
          <w:right w:val="nil"/>
          <w:insideH w:val="nil"/>
          <w:insideV w:val="nil"/>
        </w:tcBorders>
        <w:shd w:val="clear" w:color="auto" w:fill="76923C" w:themeFill="accent3" w:themeFillShade="BF"/>
      </w:tcPr>
    </w:tblStylePr>
  </w:style>
  <w:style w:type="table" w:styleId="DarkList-Accent4">
    <w:name w:val="Dark List Accent 4"/>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8064A2" w:themeFill="accent4"/>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3F3151" w:themeFill="accent4" w:themeFillShade="7F"/>
      </w:tcPr>
    </w:tblStylePr>
    <w:tblStylePr w:type="firstCol">
      <w:tblPr/>
      <w:tcPr>
        <w:tcBorders>
          <w:top w:val="nil"/>
          <w:left w:val="nil"/>
          <w:bottom w:val="nil"/>
          <w:right w:val="single" w:sz="18" w:space="0" w:color="FFFFFF" w:themeColor="background1"/>
          <w:insideH w:val="nil"/>
          <w:insideV w:val="nil"/>
        </w:tcBorders>
        <w:shd w:val="clear" w:color="auto" w:fill="5F497A" w:themeFill="accent4" w:themeFillShade="BF"/>
      </w:tcPr>
    </w:tblStylePr>
    <w:tblStylePr w:type="lastCol">
      <w:tblPr/>
      <w:tcPr>
        <w:tcBorders>
          <w:top w:val="nil"/>
          <w:left w:val="single" w:sz="18" w:space="0" w:color="FFFFFF" w:themeColor="background1"/>
          <w:bottom w:val="nil"/>
          <w:right w:val="nil"/>
          <w:insideH w:val="nil"/>
          <w:insideV w:val="nil"/>
        </w:tcBorders>
        <w:shd w:val="clear" w:color="auto" w:fill="5F497A" w:themeFill="accent4" w:themeFillShade="BF"/>
      </w:tcPr>
    </w:tblStylePr>
    <w:tblStylePr w:type="band1Vert">
      <w:tblPr/>
      <w:tcPr>
        <w:tcBorders>
          <w:top w:val="nil"/>
          <w:left w:val="nil"/>
          <w:bottom w:val="nil"/>
          <w:right w:val="nil"/>
          <w:insideH w:val="nil"/>
          <w:insideV w:val="nil"/>
        </w:tcBorders>
        <w:shd w:val="clear" w:color="auto" w:fill="5F497A" w:themeFill="accent4" w:themeFillShade="BF"/>
      </w:tcPr>
    </w:tblStylePr>
    <w:tblStylePr w:type="band1Horz">
      <w:tblPr/>
      <w:tcPr>
        <w:tcBorders>
          <w:top w:val="nil"/>
          <w:left w:val="nil"/>
          <w:bottom w:val="nil"/>
          <w:right w:val="nil"/>
          <w:insideH w:val="nil"/>
          <w:insideV w:val="nil"/>
        </w:tcBorders>
        <w:shd w:val="clear" w:color="auto" w:fill="5F497A" w:themeFill="accent4" w:themeFillShade="BF"/>
      </w:tcPr>
    </w:tblStylePr>
  </w:style>
  <w:style w:type="table" w:styleId="DarkList-Accent5">
    <w:name w:val="Dark List Accent 5"/>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BACC6" w:themeFill="accent5"/>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05867" w:themeFill="accent5" w:themeFillShade="7F"/>
      </w:tcPr>
    </w:tblStylePr>
    <w:tblStylePr w:type="firstCol">
      <w:tblPr/>
      <w:tcPr>
        <w:tcBorders>
          <w:top w:val="nil"/>
          <w:left w:val="nil"/>
          <w:bottom w:val="nil"/>
          <w:right w:val="single" w:sz="18" w:space="0" w:color="FFFFFF" w:themeColor="background1"/>
          <w:insideH w:val="nil"/>
          <w:insideV w:val="nil"/>
        </w:tcBorders>
        <w:shd w:val="clear" w:color="auto" w:fill="31849B" w:themeFill="accent5" w:themeFillShade="BF"/>
      </w:tcPr>
    </w:tblStylePr>
    <w:tblStylePr w:type="lastCol">
      <w:tblPr/>
      <w:tcPr>
        <w:tcBorders>
          <w:top w:val="nil"/>
          <w:left w:val="single" w:sz="18" w:space="0" w:color="FFFFFF" w:themeColor="background1"/>
          <w:bottom w:val="nil"/>
          <w:right w:val="nil"/>
          <w:insideH w:val="nil"/>
          <w:insideV w:val="nil"/>
        </w:tcBorders>
        <w:shd w:val="clear" w:color="auto" w:fill="31849B" w:themeFill="accent5" w:themeFillShade="BF"/>
      </w:tcPr>
    </w:tblStylePr>
    <w:tblStylePr w:type="band1Vert">
      <w:tblPr/>
      <w:tcPr>
        <w:tcBorders>
          <w:top w:val="nil"/>
          <w:left w:val="nil"/>
          <w:bottom w:val="nil"/>
          <w:right w:val="nil"/>
          <w:insideH w:val="nil"/>
          <w:insideV w:val="nil"/>
        </w:tcBorders>
        <w:shd w:val="clear" w:color="auto" w:fill="31849B" w:themeFill="accent5" w:themeFillShade="BF"/>
      </w:tcPr>
    </w:tblStylePr>
    <w:tblStylePr w:type="band1Horz">
      <w:tblPr/>
      <w:tcPr>
        <w:tcBorders>
          <w:top w:val="nil"/>
          <w:left w:val="nil"/>
          <w:bottom w:val="nil"/>
          <w:right w:val="nil"/>
          <w:insideH w:val="nil"/>
          <w:insideV w:val="nil"/>
        </w:tcBorders>
        <w:shd w:val="clear" w:color="auto" w:fill="31849B" w:themeFill="accent5" w:themeFillShade="BF"/>
      </w:tcPr>
    </w:tblStylePr>
  </w:style>
  <w:style w:type="table" w:styleId="DarkList-Accent6">
    <w:name w:val="Dark List Accent 6"/>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F79646" w:themeFill="accent6"/>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974706" w:themeFill="accent6" w:themeFillShade="7F"/>
      </w:tcPr>
    </w:tblStylePr>
    <w:tblStylePr w:type="firstCol">
      <w:tblPr/>
      <w:tcPr>
        <w:tcBorders>
          <w:top w:val="nil"/>
          <w:left w:val="nil"/>
          <w:bottom w:val="nil"/>
          <w:right w:val="single" w:sz="18" w:space="0" w:color="FFFFFF" w:themeColor="background1"/>
          <w:insideH w:val="nil"/>
          <w:insideV w:val="nil"/>
        </w:tcBorders>
        <w:shd w:val="clear" w:color="auto" w:fill="E36C0A" w:themeFill="accent6" w:themeFillShade="BF"/>
      </w:tcPr>
    </w:tblStylePr>
    <w:tblStylePr w:type="lastCol">
      <w:tblPr/>
      <w:tcPr>
        <w:tcBorders>
          <w:top w:val="nil"/>
          <w:left w:val="single" w:sz="18" w:space="0" w:color="FFFFFF" w:themeColor="background1"/>
          <w:bottom w:val="nil"/>
          <w:right w:val="nil"/>
          <w:insideH w:val="nil"/>
          <w:insideV w:val="nil"/>
        </w:tcBorders>
        <w:shd w:val="clear" w:color="auto" w:fill="E36C0A" w:themeFill="accent6" w:themeFillShade="BF"/>
      </w:tcPr>
    </w:tblStylePr>
    <w:tblStylePr w:type="band1Vert">
      <w:tblPr/>
      <w:tcPr>
        <w:tcBorders>
          <w:top w:val="nil"/>
          <w:left w:val="nil"/>
          <w:bottom w:val="nil"/>
          <w:right w:val="nil"/>
          <w:insideH w:val="nil"/>
          <w:insideV w:val="nil"/>
        </w:tcBorders>
        <w:shd w:val="clear" w:color="auto" w:fill="E36C0A" w:themeFill="accent6" w:themeFillShade="BF"/>
      </w:tcPr>
    </w:tblStylePr>
    <w:tblStylePr w:type="band1Horz">
      <w:tblPr/>
      <w:tcPr>
        <w:tcBorders>
          <w:top w:val="nil"/>
          <w:left w:val="nil"/>
          <w:bottom w:val="nil"/>
          <w:right w:val="nil"/>
          <w:insideH w:val="nil"/>
          <w:insideV w:val="nil"/>
        </w:tcBorders>
        <w:shd w:val="clear" w:color="auto" w:fill="E36C0A" w:themeFill="accent6" w:themeFillShade="BF"/>
      </w:tcPr>
    </w:tblStylePr>
  </w:style>
  <w:style w:type="table" w:styleId="ColorfulShading">
    <w:name w:val="Colorful Shading"/>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000000" w:themeColor="text1"/>
        <w:bottom w:val="single" w:sz="4" w:space="0" w:color="000000" w:themeColor="text1"/>
        <w:right w:val="single" w:sz="4" w:space="0" w:color="000000" w:themeColor="tex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6E6E6" w:themeFill="tex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00000" w:themeFill="text1" w:themeFillShade="99"/>
      </w:tcPr>
    </w:tblStylePr>
    <w:tblStylePr w:type="firstCol">
      <w:rPr>
        <w:color w:val="FFFFFF" w:themeColor="background1"/>
      </w:rPr>
      <w:tblPr/>
      <w:tcPr>
        <w:tcBorders>
          <w:top w:val="nil"/>
          <w:left w:val="nil"/>
          <w:bottom w:val="nil"/>
          <w:right w:val="nil"/>
          <w:insideH w:val="single" w:sz="4" w:space="0" w:color="000000" w:themeColor="text1" w:themeShade="99"/>
          <w:insideV w:val="nil"/>
        </w:tcBorders>
        <w:shd w:val="clear" w:color="auto" w:fill="000000" w:themeFill="text1" w:themeFillShade="99"/>
      </w:tcPr>
    </w:tblStylePr>
    <w:tblStylePr w:type="lastCol">
      <w:rPr>
        <w:color w:val="FFFFFF" w:themeColor="background1"/>
      </w:rPr>
      <w:tblPr/>
      <w:tcPr>
        <w:tcBorders>
          <w:top w:val="nil"/>
          <w:left w:val="nil"/>
          <w:bottom w:val="nil"/>
          <w:right w:val="nil"/>
          <w:insideH w:val="nil"/>
          <w:insideV w:val="nil"/>
        </w:tcBorders>
        <w:shd w:val="clear" w:color="auto" w:fill="000000" w:themeFill="text1" w:themeFillShade="BF"/>
      </w:tcPr>
    </w:tblStylePr>
    <w:tblStylePr w:type="band1Vert">
      <w:tblPr/>
      <w:tcPr>
        <w:shd w:val="clear" w:color="auto" w:fill="999999" w:themeFill="text1" w:themeFillTint="66"/>
      </w:tcPr>
    </w:tblStylePr>
    <w:tblStylePr w:type="band1Horz">
      <w:tblPr/>
      <w:tcPr>
        <w:shd w:val="clear" w:color="auto" w:fill="808080" w:themeFill="text1" w:themeFillTint="7F"/>
      </w:tcPr>
    </w:tblStylePr>
    <w:tblStylePr w:type="neCell">
      <w:rPr>
        <w:color w:val="000000" w:themeColor="text1"/>
      </w:rPr>
    </w:tblStylePr>
    <w:tblStylePr w:type="nwCell">
      <w:rPr>
        <w:color w:val="000000" w:themeColor="text1"/>
      </w:rPr>
    </w:tblStylePr>
  </w:style>
  <w:style w:type="table" w:styleId="ColorfulShading-Accent1">
    <w:name w:val="Colorful Shading Accent 1"/>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4F81BD" w:themeColor="accent1"/>
        <w:bottom w:val="single" w:sz="4" w:space="0" w:color="4F81BD" w:themeColor="accent1"/>
        <w:right w:val="single" w:sz="4" w:space="0" w:color="4F81BD" w:themeColor="accen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2F8" w:themeFill="accen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C4C74" w:themeFill="accent1" w:themeFillShade="99"/>
      </w:tcPr>
    </w:tblStylePr>
    <w:tblStylePr w:type="firstCol">
      <w:rPr>
        <w:color w:val="FFFFFF" w:themeColor="background1"/>
      </w:rPr>
      <w:tblPr/>
      <w:tcPr>
        <w:tcBorders>
          <w:top w:val="nil"/>
          <w:left w:val="nil"/>
          <w:bottom w:val="nil"/>
          <w:right w:val="nil"/>
          <w:insideH w:val="single" w:sz="4" w:space="0" w:color="2C4C74" w:themeColor="accent1" w:themeShade="99"/>
          <w:insideV w:val="nil"/>
        </w:tcBorders>
        <w:shd w:val="clear" w:color="auto" w:fill="2C4C74" w:themeFill="accent1" w:themeFillShade="99"/>
      </w:tcPr>
    </w:tblStylePr>
    <w:tblStylePr w:type="lastCol">
      <w:rPr>
        <w:color w:val="FFFFFF" w:themeColor="background1"/>
      </w:rPr>
      <w:tblPr/>
      <w:tcPr>
        <w:tcBorders>
          <w:top w:val="nil"/>
          <w:left w:val="nil"/>
          <w:bottom w:val="nil"/>
          <w:right w:val="nil"/>
          <w:insideH w:val="nil"/>
          <w:insideV w:val="nil"/>
        </w:tcBorders>
        <w:shd w:val="clear" w:color="auto" w:fill="2C4C74" w:themeFill="accent1" w:themeFillShade="99"/>
      </w:tcPr>
    </w:tblStylePr>
    <w:tblStylePr w:type="band1Vert">
      <w:tblPr/>
      <w:tcPr>
        <w:shd w:val="clear" w:color="auto" w:fill="B8CCE4" w:themeFill="accent1" w:themeFillTint="66"/>
      </w:tcPr>
    </w:tblStylePr>
    <w:tblStylePr w:type="band1Horz">
      <w:tblPr/>
      <w:tcPr>
        <w:shd w:val="clear" w:color="auto" w:fill="A7BFDE" w:themeFill="accent1" w:themeFillTint="7F"/>
      </w:tcPr>
    </w:tblStylePr>
    <w:tblStylePr w:type="neCell">
      <w:rPr>
        <w:color w:val="000000" w:themeColor="text1"/>
      </w:rPr>
    </w:tblStylePr>
    <w:tblStylePr w:type="nwCell">
      <w:rPr>
        <w:color w:val="000000" w:themeColor="text1"/>
      </w:rPr>
    </w:tblStylePr>
  </w:style>
  <w:style w:type="table" w:styleId="ColorfulShading-Accent2">
    <w:name w:val="Colorful Shading Accent 2"/>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C0504D" w:themeColor="accent2"/>
        <w:bottom w:val="single" w:sz="4" w:space="0" w:color="C0504D" w:themeColor="accent2"/>
        <w:right w:val="single" w:sz="4" w:space="0" w:color="C0504D" w:themeColor="accent2"/>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8EDED" w:themeFill="accent2"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772C2A" w:themeFill="accent2" w:themeFillShade="99"/>
      </w:tcPr>
    </w:tblStylePr>
    <w:tblStylePr w:type="firstCol">
      <w:rPr>
        <w:color w:val="FFFFFF" w:themeColor="background1"/>
      </w:rPr>
      <w:tblPr/>
      <w:tcPr>
        <w:tcBorders>
          <w:top w:val="nil"/>
          <w:left w:val="nil"/>
          <w:bottom w:val="nil"/>
          <w:right w:val="nil"/>
          <w:insideH w:val="single" w:sz="4" w:space="0" w:color="772C2A" w:themeColor="accent2" w:themeShade="99"/>
          <w:insideV w:val="nil"/>
        </w:tcBorders>
        <w:shd w:val="clear" w:color="auto" w:fill="772C2A" w:themeFill="accent2" w:themeFillShade="99"/>
      </w:tcPr>
    </w:tblStylePr>
    <w:tblStylePr w:type="lastCol">
      <w:rPr>
        <w:color w:val="FFFFFF" w:themeColor="background1"/>
      </w:rPr>
      <w:tblPr/>
      <w:tcPr>
        <w:tcBorders>
          <w:top w:val="nil"/>
          <w:left w:val="nil"/>
          <w:bottom w:val="nil"/>
          <w:right w:val="nil"/>
          <w:insideH w:val="nil"/>
          <w:insideV w:val="nil"/>
        </w:tcBorders>
        <w:shd w:val="clear" w:color="auto" w:fill="772C2A" w:themeFill="accent2" w:themeFillShade="99"/>
      </w:tcPr>
    </w:tblStylePr>
    <w:tblStylePr w:type="band1Vert">
      <w:tblPr/>
      <w:tcPr>
        <w:shd w:val="clear" w:color="auto" w:fill="E5B8B7" w:themeFill="accent2" w:themeFillTint="66"/>
      </w:tcPr>
    </w:tblStylePr>
    <w:tblStylePr w:type="band1Horz">
      <w:tblPr/>
      <w:tcPr>
        <w:shd w:val="clear" w:color="auto" w:fill="DFA7A6" w:themeFill="accent2" w:themeFillTint="7F"/>
      </w:tcPr>
    </w:tblStylePr>
    <w:tblStylePr w:type="neCell">
      <w:rPr>
        <w:color w:val="000000" w:themeColor="text1"/>
      </w:rPr>
    </w:tblStylePr>
    <w:tblStylePr w:type="nwCell">
      <w:rPr>
        <w:color w:val="000000" w:themeColor="text1"/>
      </w:rPr>
    </w:tblStylePr>
  </w:style>
  <w:style w:type="table" w:styleId="ColorfulShading-Accent3">
    <w:name w:val="Colorful Shading Accent 3"/>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8064A2" w:themeColor="accent4"/>
        <w:left w:val="single" w:sz="4" w:space="0" w:color="9BBB59" w:themeColor="accent3"/>
        <w:bottom w:val="single" w:sz="4" w:space="0" w:color="9BBB59" w:themeColor="accent3"/>
        <w:right w:val="single" w:sz="4" w:space="0" w:color="9BBB59" w:themeColor="accent3"/>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5F8EE" w:themeFill="accent3" w:themeFillTint="19"/>
    </w:tcPr>
    <w:tblStylePr w:type="firstRow">
      <w:rPr>
        <w:b/>
        <w:bCs/>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5E7530" w:themeFill="accent3" w:themeFillShade="99"/>
      </w:tcPr>
    </w:tblStylePr>
    <w:tblStylePr w:type="firstCol">
      <w:rPr>
        <w:color w:val="FFFFFF" w:themeColor="background1"/>
      </w:rPr>
      <w:tblPr/>
      <w:tcPr>
        <w:tcBorders>
          <w:top w:val="nil"/>
          <w:left w:val="nil"/>
          <w:bottom w:val="nil"/>
          <w:right w:val="nil"/>
          <w:insideH w:val="single" w:sz="4" w:space="0" w:color="5E7530" w:themeColor="accent3" w:themeShade="99"/>
          <w:insideV w:val="nil"/>
        </w:tcBorders>
        <w:shd w:val="clear" w:color="auto" w:fill="5E7530" w:themeFill="accent3" w:themeFillShade="99"/>
      </w:tcPr>
    </w:tblStylePr>
    <w:tblStylePr w:type="lastCol">
      <w:rPr>
        <w:color w:val="FFFFFF" w:themeColor="background1"/>
      </w:rPr>
      <w:tblPr/>
      <w:tcPr>
        <w:tcBorders>
          <w:top w:val="nil"/>
          <w:left w:val="nil"/>
          <w:bottom w:val="nil"/>
          <w:right w:val="nil"/>
          <w:insideH w:val="nil"/>
          <w:insideV w:val="nil"/>
        </w:tcBorders>
        <w:shd w:val="clear" w:color="auto" w:fill="5E7530" w:themeFill="accent3" w:themeFillShade="99"/>
      </w:tcPr>
    </w:tblStylePr>
    <w:tblStylePr w:type="band1Vert">
      <w:tblPr/>
      <w:tcPr>
        <w:shd w:val="clear" w:color="auto" w:fill="D6E3BC" w:themeFill="accent3" w:themeFillTint="66"/>
      </w:tcPr>
    </w:tblStylePr>
    <w:tblStylePr w:type="band1Horz">
      <w:tblPr/>
      <w:tcPr>
        <w:shd w:val="clear" w:color="auto" w:fill="CDDDAC" w:themeFill="accent3" w:themeFillTint="7F"/>
      </w:tcPr>
    </w:tblStylePr>
  </w:style>
  <w:style w:type="table" w:styleId="ColorfulShading-Accent4">
    <w:name w:val="Colorful Shading Accent 4"/>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9BBB59" w:themeColor="accent3"/>
        <w:left w:val="single" w:sz="4" w:space="0" w:color="8064A2" w:themeColor="accent4"/>
        <w:bottom w:val="single" w:sz="4" w:space="0" w:color="8064A2" w:themeColor="accent4"/>
        <w:right w:val="single" w:sz="4" w:space="0" w:color="8064A2" w:themeColor="accent4"/>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2EFF6" w:themeFill="accent4" w:themeFillTint="19"/>
    </w:tcPr>
    <w:tblStylePr w:type="firstRow">
      <w:rPr>
        <w:b/>
        <w:bCs/>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4C3B62" w:themeFill="accent4" w:themeFillShade="99"/>
      </w:tcPr>
    </w:tblStylePr>
    <w:tblStylePr w:type="firstCol">
      <w:rPr>
        <w:color w:val="FFFFFF" w:themeColor="background1"/>
      </w:rPr>
      <w:tblPr/>
      <w:tcPr>
        <w:tcBorders>
          <w:top w:val="nil"/>
          <w:left w:val="nil"/>
          <w:bottom w:val="nil"/>
          <w:right w:val="nil"/>
          <w:insideH w:val="single" w:sz="4" w:space="0" w:color="4C3B62" w:themeColor="accent4" w:themeShade="99"/>
          <w:insideV w:val="nil"/>
        </w:tcBorders>
        <w:shd w:val="clear" w:color="auto" w:fill="4C3B62" w:themeFill="accent4" w:themeFillShade="99"/>
      </w:tcPr>
    </w:tblStylePr>
    <w:tblStylePr w:type="lastCol">
      <w:rPr>
        <w:color w:val="FFFFFF" w:themeColor="background1"/>
      </w:rPr>
      <w:tblPr/>
      <w:tcPr>
        <w:tcBorders>
          <w:top w:val="nil"/>
          <w:left w:val="nil"/>
          <w:bottom w:val="nil"/>
          <w:right w:val="nil"/>
          <w:insideH w:val="nil"/>
          <w:insideV w:val="nil"/>
        </w:tcBorders>
        <w:shd w:val="clear" w:color="auto" w:fill="4C3B62" w:themeFill="accent4" w:themeFillShade="99"/>
      </w:tcPr>
    </w:tblStylePr>
    <w:tblStylePr w:type="band1Vert">
      <w:tblPr/>
      <w:tcPr>
        <w:shd w:val="clear" w:color="auto" w:fill="CCC0D9" w:themeFill="accent4" w:themeFillTint="66"/>
      </w:tcPr>
    </w:tblStylePr>
    <w:tblStylePr w:type="band1Horz">
      <w:tblPr/>
      <w:tcPr>
        <w:shd w:val="clear" w:color="auto" w:fill="BFB1D0" w:themeFill="accent4" w:themeFillTint="7F"/>
      </w:tcPr>
    </w:tblStylePr>
    <w:tblStylePr w:type="neCell">
      <w:rPr>
        <w:color w:val="000000" w:themeColor="text1"/>
      </w:rPr>
    </w:tblStylePr>
    <w:tblStylePr w:type="nwCell">
      <w:rPr>
        <w:color w:val="000000" w:themeColor="text1"/>
      </w:rPr>
    </w:tblStylePr>
  </w:style>
  <w:style w:type="table" w:styleId="ColorfulShading-Accent5">
    <w:name w:val="Colorful Shading Accent 5"/>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F79646" w:themeColor="accent6"/>
        <w:left w:val="single" w:sz="4" w:space="0" w:color="4BACC6" w:themeColor="accent5"/>
        <w:bottom w:val="single" w:sz="4" w:space="0" w:color="4BACC6" w:themeColor="accent5"/>
        <w:right w:val="single" w:sz="4" w:space="0" w:color="4BACC6" w:themeColor="accent5"/>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6F9" w:themeFill="accent5" w:themeFillTint="19"/>
    </w:tcPr>
    <w:tblStylePr w:type="firstRow">
      <w:rPr>
        <w:b/>
        <w:bCs/>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76A7C" w:themeFill="accent5" w:themeFillShade="99"/>
      </w:tcPr>
    </w:tblStylePr>
    <w:tblStylePr w:type="firstCol">
      <w:rPr>
        <w:color w:val="FFFFFF" w:themeColor="background1"/>
      </w:rPr>
      <w:tblPr/>
      <w:tcPr>
        <w:tcBorders>
          <w:top w:val="nil"/>
          <w:left w:val="nil"/>
          <w:bottom w:val="nil"/>
          <w:right w:val="nil"/>
          <w:insideH w:val="single" w:sz="4" w:space="0" w:color="276A7C" w:themeColor="accent5" w:themeShade="99"/>
          <w:insideV w:val="nil"/>
        </w:tcBorders>
        <w:shd w:val="clear" w:color="auto" w:fill="276A7C" w:themeFill="accent5" w:themeFillShade="99"/>
      </w:tcPr>
    </w:tblStylePr>
    <w:tblStylePr w:type="lastCol">
      <w:rPr>
        <w:color w:val="FFFFFF" w:themeColor="background1"/>
      </w:rPr>
      <w:tblPr/>
      <w:tcPr>
        <w:tcBorders>
          <w:top w:val="nil"/>
          <w:left w:val="nil"/>
          <w:bottom w:val="nil"/>
          <w:right w:val="nil"/>
          <w:insideH w:val="nil"/>
          <w:insideV w:val="nil"/>
        </w:tcBorders>
        <w:shd w:val="clear" w:color="auto" w:fill="276A7C" w:themeFill="accent5" w:themeFillShade="99"/>
      </w:tcPr>
    </w:tblStylePr>
    <w:tblStylePr w:type="band1Vert">
      <w:tblPr/>
      <w:tcPr>
        <w:shd w:val="clear" w:color="auto" w:fill="B6DDE8" w:themeFill="accent5" w:themeFillTint="66"/>
      </w:tcPr>
    </w:tblStylePr>
    <w:tblStylePr w:type="band1Horz">
      <w:tblPr/>
      <w:tcPr>
        <w:shd w:val="clear" w:color="auto" w:fill="A5D5E2" w:themeFill="accent5" w:themeFillTint="7F"/>
      </w:tcPr>
    </w:tblStylePr>
    <w:tblStylePr w:type="neCell">
      <w:rPr>
        <w:color w:val="000000" w:themeColor="text1"/>
      </w:rPr>
    </w:tblStylePr>
    <w:tblStylePr w:type="nwCell">
      <w:rPr>
        <w:color w:val="000000" w:themeColor="text1"/>
      </w:rPr>
    </w:tblStylePr>
  </w:style>
  <w:style w:type="table" w:styleId="ColorfulShading-Accent6">
    <w:name w:val="Colorful Shading Accent 6"/>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4BACC6" w:themeColor="accent5"/>
        <w:left w:val="single" w:sz="4" w:space="0" w:color="F79646" w:themeColor="accent6"/>
        <w:bottom w:val="single" w:sz="4" w:space="0" w:color="F79646" w:themeColor="accent6"/>
        <w:right w:val="single" w:sz="4" w:space="0" w:color="F79646" w:themeColor="accent6"/>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EF4EC" w:themeFill="accent6" w:themeFillTint="19"/>
    </w:tcPr>
    <w:tblStylePr w:type="firstRow">
      <w:rPr>
        <w:b/>
        <w:bCs/>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B65608" w:themeFill="accent6" w:themeFillShade="99"/>
      </w:tcPr>
    </w:tblStylePr>
    <w:tblStylePr w:type="firstCol">
      <w:rPr>
        <w:color w:val="FFFFFF" w:themeColor="background1"/>
      </w:rPr>
      <w:tblPr/>
      <w:tcPr>
        <w:tcBorders>
          <w:top w:val="nil"/>
          <w:left w:val="nil"/>
          <w:bottom w:val="nil"/>
          <w:right w:val="nil"/>
          <w:insideH w:val="single" w:sz="4" w:space="0" w:color="B65608" w:themeColor="accent6" w:themeShade="99"/>
          <w:insideV w:val="nil"/>
        </w:tcBorders>
        <w:shd w:val="clear" w:color="auto" w:fill="B65608" w:themeFill="accent6" w:themeFillShade="99"/>
      </w:tcPr>
    </w:tblStylePr>
    <w:tblStylePr w:type="lastCol">
      <w:rPr>
        <w:color w:val="FFFFFF" w:themeColor="background1"/>
      </w:rPr>
      <w:tblPr/>
      <w:tcPr>
        <w:tcBorders>
          <w:top w:val="nil"/>
          <w:left w:val="nil"/>
          <w:bottom w:val="nil"/>
          <w:right w:val="nil"/>
          <w:insideH w:val="nil"/>
          <w:insideV w:val="nil"/>
        </w:tcBorders>
        <w:shd w:val="clear" w:color="auto" w:fill="B65608" w:themeFill="accent6" w:themeFillShade="99"/>
      </w:tcPr>
    </w:tblStylePr>
    <w:tblStylePr w:type="band1Vert">
      <w:tblPr/>
      <w:tcPr>
        <w:shd w:val="clear" w:color="auto" w:fill="FBD4B4" w:themeFill="accent6" w:themeFillTint="66"/>
      </w:tcPr>
    </w:tblStylePr>
    <w:tblStylePr w:type="band1Horz">
      <w:tblPr/>
      <w:tcPr>
        <w:shd w:val="clear" w:color="auto" w:fill="FBCAA2" w:themeFill="accent6" w:themeFillTint="7F"/>
      </w:tcPr>
    </w:tblStylePr>
    <w:tblStylePr w:type="neCell">
      <w:rPr>
        <w:color w:val="000000" w:themeColor="text1"/>
      </w:rPr>
    </w:tblStylePr>
    <w:tblStylePr w:type="nwCell">
      <w:rPr>
        <w:color w:val="000000" w:themeColor="text1"/>
      </w:rPr>
    </w:tblStylePr>
  </w:style>
  <w:style w:type="table" w:styleId="ColorfulList">
    <w:name w:val="Colorful List"/>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6E6E6" w:themeFill="tex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C0C0C0" w:themeFill="text1" w:themeFillTint="3F"/>
      </w:tcPr>
    </w:tblStylePr>
    <w:tblStylePr w:type="band1Horz">
      <w:tblPr/>
      <w:tcPr>
        <w:shd w:val="clear" w:color="auto" w:fill="CCCCCC" w:themeFill="text1" w:themeFillTint="33"/>
      </w:tcPr>
    </w:tblStylePr>
  </w:style>
  <w:style w:type="table" w:styleId="ColorfulList-Accent1">
    <w:name w:val="Colorful List Accent 1"/>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2F8" w:themeFill="accen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3DFEE" w:themeFill="accent1" w:themeFillTint="3F"/>
      </w:tcPr>
    </w:tblStylePr>
    <w:tblStylePr w:type="band1Horz">
      <w:tblPr/>
      <w:tcPr>
        <w:shd w:val="clear" w:color="auto" w:fill="DBE5F1" w:themeFill="accent1" w:themeFillTint="33"/>
      </w:tcPr>
    </w:tblStylePr>
  </w:style>
  <w:style w:type="table" w:styleId="ColorfulList-Accent2">
    <w:name w:val="Colorful List Accent 2"/>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8EDED" w:themeFill="accent2"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FD3D2" w:themeFill="accent2" w:themeFillTint="3F"/>
      </w:tcPr>
    </w:tblStylePr>
    <w:tblStylePr w:type="band1Horz">
      <w:tblPr/>
      <w:tcPr>
        <w:shd w:val="clear" w:color="auto" w:fill="F2DBDB" w:themeFill="accent2" w:themeFillTint="33"/>
      </w:tcPr>
    </w:tblStylePr>
  </w:style>
  <w:style w:type="table" w:styleId="ColorfulList-Accent3">
    <w:name w:val="Colorful List Accent 3"/>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5F8EE" w:themeFill="accent3" w:themeFillTint="19"/>
    </w:tcPr>
    <w:tblStylePr w:type="firstRow">
      <w:rPr>
        <w:b/>
        <w:bCs/>
        <w:color w:val="FFFFFF" w:themeColor="background1"/>
      </w:rPr>
      <w:tblPr/>
      <w:tcPr>
        <w:tcBorders>
          <w:bottom w:val="single" w:sz="12" w:space="0" w:color="FFFFFF" w:themeColor="background1"/>
        </w:tcBorders>
        <w:shd w:val="clear" w:color="auto" w:fill="664E82" w:themeFill="accent4" w:themeFillShade="CC"/>
      </w:tcPr>
    </w:tblStylePr>
    <w:tblStylePr w:type="lastRow">
      <w:rPr>
        <w:b/>
        <w:bCs/>
        <w:color w:val="664E82" w:themeColor="accent4"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6EED5" w:themeFill="accent3" w:themeFillTint="3F"/>
      </w:tcPr>
    </w:tblStylePr>
    <w:tblStylePr w:type="band1Horz">
      <w:tblPr/>
      <w:tcPr>
        <w:shd w:val="clear" w:color="auto" w:fill="EAF1DD" w:themeFill="accent3" w:themeFillTint="33"/>
      </w:tcPr>
    </w:tblStylePr>
  </w:style>
  <w:style w:type="table" w:styleId="ColorfulList-Accent4">
    <w:name w:val="Colorful List Accent 4"/>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2EFF6" w:themeFill="accent4" w:themeFillTint="19"/>
    </w:tcPr>
    <w:tblStylePr w:type="firstRow">
      <w:rPr>
        <w:b/>
        <w:bCs/>
        <w:color w:val="FFFFFF" w:themeColor="background1"/>
      </w:rPr>
      <w:tblPr/>
      <w:tcPr>
        <w:tcBorders>
          <w:bottom w:val="single" w:sz="12" w:space="0" w:color="FFFFFF" w:themeColor="background1"/>
        </w:tcBorders>
        <w:shd w:val="clear" w:color="auto" w:fill="7E9C40" w:themeFill="accent3" w:themeFillShade="CC"/>
      </w:tcPr>
    </w:tblStylePr>
    <w:tblStylePr w:type="lastRow">
      <w:rPr>
        <w:b/>
        <w:bCs/>
        <w:color w:val="7E9C40" w:themeColor="accent3"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FD8E8" w:themeFill="accent4" w:themeFillTint="3F"/>
      </w:tcPr>
    </w:tblStylePr>
    <w:tblStylePr w:type="band1Horz">
      <w:tblPr/>
      <w:tcPr>
        <w:shd w:val="clear" w:color="auto" w:fill="E5DFEC" w:themeFill="accent4" w:themeFillTint="33"/>
      </w:tcPr>
    </w:tblStylePr>
  </w:style>
  <w:style w:type="table" w:styleId="ColorfulList-Accent5">
    <w:name w:val="Colorful List Accent 5"/>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6F9" w:themeFill="accent5" w:themeFillTint="19"/>
    </w:tcPr>
    <w:tblStylePr w:type="firstRow">
      <w:rPr>
        <w:b/>
        <w:bCs/>
        <w:color w:val="FFFFFF" w:themeColor="background1"/>
      </w:rPr>
      <w:tblPr/>
      <w:tcPr>
        <w:tcBorders>
          <w:bottom w:val="single" w:sz="12" w:space="0" w:color="FFFFFF" w:themeColor="background1"/>
        </w:tcBorders>
        <w:shd w:val="clear" w:color="auto" w:fill="F2730A" w:themeFill="accent6" w:themeFillShade="CC"/>
      </w:tcPr>
    </w:tblStylePr>
    <w:tblStylePr w:type="lastRow">
      <w:rPr>
        <w:b/>
        <w:bCs/>
        <w:color w:val="F2730A" w:themeColor="accent6"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2EAF1" w:themeFill="accent5" w:themeFillTint="3F"/>
      </w:tcPr>
    </w:tblStylePr>
    <w:tblStylePr w:type="band1Horz">
      <w:tblPr/>
      <w:tcPr>
        <w:shd w:val="clear" w:color="auto" w:fill="DAEEF3" w:themeFill="accent5" w:themeFillTint="33"/>
      </w:tcPr>
    </w:tblStylePr>
  </w:style>
  <w:style w:type="table" w:styleId="ColorfulList-Accent6">
    <w:name w:val="Colorful List Accent 6"/>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EF4EC" w:themeFill="accent6" w:themeFillTint="19"/>
    </w:tcPr>
    <w:tblStylePr w:type="firstRow">
      <w:rPr>
        <w:b/>
        <w:bCs/>
        <w:color w:val="FFFFFF" w:themeColor="background1"/>
      </w:rPr>
      <w:tblPr/>
      <w:tcPr>
        <w:tcBorders>
          <w:bottom w:val="single" w:sz="12" w:space="0" w:color="FFFFFF" w:themeColor="background1"/>
        </w:tcBorders>
        <w:shd w:val="clear" w:color="auto" w:fill="348DA5" w:themeFill="accent5" w:themeFillShade="CC"/>
      </w:tcPr>
    </w:tblStylePr>
    <w:tblStylePr w:type="lastRow">
      <w:rPr>
        <w:b/>
        <w:bCs/>
        <w:color w:val="348DA5" w:themeColor="accent5"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FDE4D0" w:themeFill="accent6" w:themeFillTint="3F"/>
      </w:tcPr>
    </w:tblStylePr>
    <w:tblStylePr w:type="band1Horz">
      <w:tblPr/>
      <w:tcPr>
        <w:shd w:val="clear" w:color="auto" w:fill="FDE9D9" w:themeFill="accent6" w:themeFillTint="33"/>
      </w:tcPr>
    </w:tblStylePr>
  </w:style>
  <w:style w:type="table" w:styleId="ColorfulGrid">
    <w:name w:val="Colorful Grid"/>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CCCCCC" w:themeFill="text1" w:themeFillTint="33"/>
    </w:tcPr>
    <w:tblStylePr w:type="firstRow">
      <w:rPr>
        <w:b/>
        <w:bCs/>
      </w:rPr>
      <w:tblPr/>
      <w:tcPr>
        <w:shd w:val="clear" w:color="auto" w:fill="999999" w:themeFill="text1" w:themeFillTint="66"/>
      </w:tcPr>
    </w:tblStylePr>
    <w:tblStylePr w:type="lastRow">
      <w:rPr>
        <w:b/>
        <w:bCs/>
        <w:color w:val="000000" w:themeColor="text1"/>
      </w:rPr>
      <w:tblPr/>
      <w:tcPr>
        <w:shd w:val="clear" w:color="auto" w:fill="999999" w:themeFill="text1" w:themeFillTint="66"/>
      </w:tcPr>
    </w:tblStylePr>
    <w:tblStylePr w:type="firstCol">
      <w:rPr>
        <w:color w:val="FFFFFF" w:themeColor="background1"/>
      </w:rPr>
      <w:tblPr/>
      <w:tcPr>
        <w:shd w:val="clear" w:color="auto" w:fill="000000" w:themeFill="text1" w:themeFillShade="BF"/>
      </w:tcPr>
    </w:tblStylePr>
    <w:tblStylePr w:type="lastCol">
      <w:rPr>
        <w:color w:val="FFFFFF" w:themeColor="background1"/>
      </w:rPr>
      <w:tblPr/>
      <w:tcPr>
        <w:shd w:val="clear" w:color="auto" w:fill="000000" w:themeFill="text1" w:themeFillShade="BF"/>
      </w:tc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ColorfulGrid-Accent1">
    <w:name w:val="Colorful Grid Accent 1"/>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BE5F1" w:themeFill="accent1" w:themeFillTint="33"/>
    </w:tcPr>
    <w:tblStylePr w:type="firstRow">
      <w:rPr>
        <w:b/>
        <w:bCs/>
      </w:rPr>
      <w:tblPr/>
      <w:tcPr>
        <w:shd w:val="clear" w:color="auto" w:fill="B8CCE4" w:themeFill="accent1" w:themeFillTint="66"/>
      </w:tcPr>
    </w:tblStylePr>
    <w:tblStylePr w:type="lastRow">
      <w:rPr>
        <w:b/>
        <w:bCs/>
        <w:color w:val="000000" w:themeColor="text1"/>
      </w:rPr>
      <w:tblPr/>
      <w:tcPr>
        <w:shd w:val="clear" w:color="auto" w:fill="B8CCE4" w:themeFill="accent1" w:themeFillTint="66"/>
      </w:tcPr>
    </w:tblStylePr>
    <w:tblStylePr w:type="firstCol">
      <w:rPr>
        <w:color w:val="FFFFFF" w:themeColor="background1"/>
      </w:rPr>
      <w:tblPr/>
      <w:tcPr>
        <w:shd w:val="clear" w:color="auto" w:fill="365F91" w:themeFill="accent1" w:themeFillShade="BF"/>
      </w:tcPr>
    </w:tblStylePr>
    <w:tblStylePr w:type="lastCol">
      <w:rPr>
        <w:color w:val="FFFFFF" w:themeColor="background1"/>
      </w:rPr>
      <w:tblPr/>
      <w:tcPr>
        <w:shd w:val="clear" w:color="auto" w:fill="365F91" w:themeFill="accent1" w:themeFillShade="BF"/>
      </w:tc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ColorfulGrid-Accent2">
    <w:name w:val="Colorful Grid Accent 2"/>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2DBDB" w:themeFill="accent2" w:themeFillTint="33"/>
    </w:tcPr>
    <w:tblStylePr w:type="firstRow">
      <w:rPr>
        <w:b/>
        <w:bCs/>
      </w:rPr>
      <w:tblPr/>
      <w:tcPr>
        <w:shd w:val="clear" w:color="auto" w:fill="E5B8B7" w:themeFill="accent2" w:themeFillTint="66"/>
      </w:tcPr>
    </w:tblStylePr>
    <w:tblStylePr w:type="lastRow">
      <w:rPr>
        <w:b/>
        <w:bCs/>
        <w:color w:val="000000" w:themeColor="text1"/>
      </w:rPr>
      <w:tblPr/>
      <w:tcPr>
        <w:shd w:val="clear" w:color="auto" w:fill="E5B8B7" w:themeFill="accent2" w:themeFillTint="66"/>
      </w:tcPr>
    </w:tblStylePr>
    <w:tblStylePr w:type="firstCol">
      <w:rPr>
        <w:color w:val="FFFFFF" w:themeColor="background1"/>
      </w:rPr>
      <w:tblPr/>
      <w:tcPr>
        <w:shd w:val="clear" w:color="auto" w:fill="943634" w:themeFill="accent2" w:themeFillShade="BF"/>
      </w:tcPr>
    </w:tblStylePr>
    <w:tblStylePr w:type="lastCol">
      <w:rPr>
        <w:color w:val="FFFFFF" w:themeColor="background1"/>
      </w:rPr>
      <w:tblPr/>
      <w:tcPr>
        <w:shd w:val="clear" w:color="auto" w:fill="943634" w:themeFill="accent2" w:themeFillShade="BF"/>
      </w:tc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ColorfulGrid-Accent3">
    <w:name w:val="Colorful Grid Accent 3"/>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AF1DD" w:themeFill="accent3" w:themeFillTint="33"/>
    </w:tcPr>
    <w:tblStylePr w:type="firstRow">
      <w:rPr>
        <w:b/>
        <w:bCs/>
      </w:rPr>
      <w:tblPr/>
      <w:tcPr>
        <w:shd w:val="clear" w:color="auto" w:fill="D6E3BC" w:themeFill="accent3" w:themeFillTint="66"/>
      </w:tcPr>
    </w:tblStylePr>
    <w:tblStylePr w:type="lastRow">
      <w:rPr>
        <w:b/>
        <w:bCs/>
        <w:color w:val="000000" w:themeColor="text1"/>
      </w:rPr>
      <w:tblPr/>
      <w:tcPr>
        <w:shd w:val="clear" w:color="auto" w:fill="D6E3BC" w:themeFill="accent3" w:themeFillTint="66"/>
      </w:tcPr>
    </w:tblStylePr>
    <w:tblStylePr w:type="firstCol">
      <w:rPr>
        <w:color w:val="FFFFFF" w:themeColor="background1"/>
      </w:rPr>
      <w:tblPr/>
      <w:tcPr>
        <w:shd w:val="clear" w:color="auto" w:fill="76923C" w:themeFill="accent3" w:themeFillShade="BF"/>
      </w:tcPr>
    </w:tblStylePr>
    <w:tblStylePr w:type="lastCol">
      <w:rPr>
        <w:color w:val="FFFFFF" w:themeColor="background1"/>
      </w:rPr>
      <w:tblPr/>
      <w:tcPr>
        <w:shd w:val="clear" w:color="auto" w:fill="76923C" w:themeFill="accent3" w:themeFillShade="BF"/>
      </w:tc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ColorfulGrid-Accent4">
    <w:name w:val="Colorful Grid Accent 4"/>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5DFEC" w:themeFill="accent4" w:themeFillTint="33"/>
    </w:tcPr>
    <w:tblStylePr w:type="firstRow">
      <w:rPr>
        <w:b/>
        <w:bCs/>
      </w:rPr>
      <w:tblPr/>
      <w:tcPr>
        <w:shd w:val="clear" w:color="auto" w:fill="CCC0D9" w:themeFill="accent4" w:themeFillTint="66"/>
      </w:tcPr>
    </w:tblStylePr>
    <w:tblStylePr w:type="lastRow">
      <w:rPr>
        <w:b/>
        <w:bCs/>
        <w:color w:val="000000" w:themeColor="text1"/>
      </w:rPr>
      <w:tblPr/>
      <w:tcPr>
        <w:shd w:val="clear" w:color="auto" w:fill="CCC0D9" w:themeFill="accent4" w:themeFillTint="66"/>
      </w:tcPr>
    </w:tblStylePr>
    <w:tblStylePr w:type="firstCol">
      <w:rPr>
        <w:color w:val="FFFFFF" w:themeColor="background1"/>
      </w:rPr>
      <w:tblPr/>
      <w:tcPr>
        <w:shd w:val="clear" w:color="auto" w:fill="5F497A" w:themeFill="accent4" w:themeFillShade="BF"/>
      </w:tcPr>
    </w:tblStylePr>
    <w:tblStylePr w:type="lastCol">
      <w:rPr>
        <w:color w:val="FFFFFF" w:themeColor="background1"/>
      </w:rPr>
      <w:tblPr/>
      <w:tcPr>
        <w:shd w:val="clear" w:color="auto" w:fill="5F497A" w:themeFill="accent4" w:themeFillShade="BF"/>
      </w:tc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ColorfulGrid-Accent5">
    <w:name w:val="Colorful Grid Accent 5"/>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AEEF3" w:themeFill="accent5" w:themeFillTint="33"/>
    </w:tcPr>
    <w:tblStylePr w:type="firstRow">
      <w:rPr>
        <w:b/>
        <w:bCs/>
      </w:rPr>
      <w:tblPr/>
      <w:tcPr>
        <w:shd w:val="clear" w:color="auto" w:fill="B6DDE8" w:themeFill="accent5" w:themeFillTint="66"/>
      </w:tcPr>
    </w:tblStylePr>
    <w:tblStylePr w:type="lastRow">
      <w:rPr>
        <w:b/>
        <w:bCs/>
        <w:color w:val="000000" w:themeColor="text1"/>
      </w:rPr>
      <w:tblPr/>
      <w:tcPr>
        <w:shd w:val="clear" w:color="auto" w:fill="B6DDE8" w:themeFill="accent5" w:themeFillTint="66"/>
      </w:tcPr>
    </w:tblStylePr>
    <w:tblStylePr w:type="firstCol">
      <w:rPr>
        <w:color w:val="FFFFFF" w:themeColor="background1"/>
      </w:rPr>
      <w:tblPr/>
      <w:tcPr>
        <w:shd w:val="clear" w:color="auto" w:fill="31849B" w:themeFill="accent5" w:themeFillShade="BF"/>
      </w:tcPr>
    </w:tblStylePr>
    <w:tblStylePr w:type="lastCol">
      <w:rPr>
        <w:color w:val="FFFFFF" w:themeColor="background1"/>
      </w:rPr>
      <w:tblPr/>
      <w:tcPr>
        <w:shd w:val="clear" w:color="auto" w:fill="31849B" w:themeFill="accent5" w:themeFillShade="BF"/>
      </w:tc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ColorfulGrid-Accent6">
    <w:name w:val="Colorful Grid Accent 6"/>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DE9D9" w:themeFill="accent6" w:themeFillTint="33"/>
    </w:tcPr>
    <w:tblStylePr w:type="firstRow">
      <w:rPr>
        <w:b/>
        <w:bCs/>
      </w:rPr>
      <w:tblPr/>
      <w:tcPr>
        <w:shd w:val="clear" w:color="auto" w:fill="FBD4B4" w:themeFill="accent6" w:themeFillTint="66"/>
      </w:tcPr>
    </w:tblStylePr>
    <w:tblStylePr w:type="lastRow">
      <w:rPr>
        <w:b/>
        <w:bCs/>
        <w:color w:val="000000" w:themeColor="text1"/>
      </w:rPr>
      <w:tblPr/>
      <w:tcPr>
        <w:shd w:val="clear" w:color="auto" w:fill="FBD4B4" w:themeFill="accent6" w:themeFillTint="66"/>
      </w:tcPr>
    </w:tblStylePr>
    <w:tblStylePr w:type="firstCol">
      <w:rPr>
        <w:color w:val="FFFFFF" w:themeColor="background1"/>
      </w:rPr>
      <w:tblPr/>
      <w:tcPr>
        <w:shd w:val="clear" w:color="auto" w:fill="E36C0A" w:themeFill="accent6" w:themeFillShade="BF"/>
      </w:tcPr>
    </w:tblStylePr>
    <w:tblStylePr w:type="lastCol">
      <w:rPr>
        <w:color w:val="FFFFFF" w:themeColor="background1"/>
      </w:rPr>
      <w:tblPr/>
      <w:tcPr>
        <w:shd w:val="clear" w:color="auto" w:fill="E36C0A" w:themeFill="accent6" w:themeFillShade="BF"/>
      </w:tc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s>
</file>

<file path=word/stylesWithEffects.xml><?xml version="1.0" encoding="utf-8"?>
<w:styles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docDefaults>
    <w:rPrDefault>
      <w:rPr>
        <w:rFonts w:asciiTheme="minorHAnsi" w:eastAsiaTheme="minorEastAsia"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76">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FC693F"/>
  </w:style>
  <w:style w:type="paragraph" w:styleId="Heading1">
    <w:name w:val="heading 1"/>
    <w:basedOn w:val="Normal"/>
    <w:next w:val="Normal"/>
    <w:link w:val="Heading1Char"/>
    <w:uiPriority w:val="9"/>
    <w:qFormat/>
    <w:rsid w:val="00FC693F"/>
    <w:pPr>
      <w:keepNext/>
      <w:keepLines/>
      <w:spacing w:before="480" w:after="0"/>
      <w:outlineLvl w:val="0"/>
    </w:pPr>
    <w:rPr>
      <w:rFonts w:asciiTheme="majorHAnsi" w:eastAsiaTheme="majorEastAsia" w:hAnsiTheme="majorHAnsi" w:cstheme="majorBidi"/>
      <w:b/>
      <w:bCs/>
      <w:color w:val="365F91" w:themeColor="accent1" w:themeShade="BF"/>
      <w:sz w:val="28"/>
      <w:szCs w:val="28"/>
    </w:rPr>
  </w:style>
  <w:style w:type="paragraph" w:styleId="Heading2">
    <w:name w:val="heading 2"/>
    <w:basedOn w:val="Normal"/>
    <w:next w:val="Normal"/>
    <w:link w:val="Heading2Char"/>
    <w:uiPriority w:val="9"/>
    <w:unhideWhenUsed/>
    <w:qFormat/>
    <w:rsid w:val="00FC693F"/>
    <w:pPr>
      <w:keepNext/>
      <w:keepLines/>
      <w:spacing w:before="200" w:after="0"/>
      <w:outlineLvl w:val="1"/>
    </w:pPr>
    <w:rPr>
      <w:rFonts w:asciiTheme="majorHAnsi" w:eastAsiaTheme="majorEastAsia" w:hAnsiTheme="majorHAnsi" w:cstheme="majorBidi"/>
      <w:b/>
      <w:bCs/>
      <w:color w:val="4F81BD" w:themeColor="accent1"/>
      <w:sz w:val="26"/>
      <w:szCs w:val="26"/>
    </w:rPr>
  </w:style>
  <w:style w:type="paragraph" w:styleId="Heading3">
    <w:name w:val="heading 3"/>
    <w:basedOn w:val="Normal"/>
    <w:next w:val="Normal"/>
    <w:link w:val="Heading3Char"/>
    <w:uiPriority w:val="9"/>
    <w:unhideWhenUsed/>
    <w:qFormat/>
    <w:rsid w:val="00FC693F"/>
    <w:pPr>
      <w:keepNext/>
      <w:keepLines/>
      <w:spacing w:before="200" w:after="0"/>
      <w:outlineLvl w:val="2"/>
    </w:pPr>
    <w:rPr>
      <w:rFonts w:asciiTheme="majorHAnsi" w:eastAsiaTheme="majorEastAsia" w:hAnsiTheme="majorHAnsi" w:cstheme="majorBidi"/>
      <w:b/>
      <w:bCs/>
      <w:color w:val="4F81BD" w:themeColor="accent1"/>
    </w:rPr>
  </w:style>
  <w:style w:type="paragraph" w:styleId="Heading4">
    <w:name w:val="heading 4"/>
    <w:basedOn w:val="Normal"/>
    <w:next w:val="Normal"/>
    <w:link w:val="Heading4Char"/>
    <w:uiPriority w:val="9"/>
    <w:semiHidden/>
    <w:unhideWhenUsed/>
    <w:qFormat/>
    <w:rsid w:val="00FC693F"/>
    <w:pPr>
      <w:keepNext/>
      <w:keepLines/>
      <w:spacing w:before="200" w:after="0"/>
      <w:outlineLvl w:val="3"/>
    </w:pPr>
    <w:rPr>
      <w:rFonts w:asciiTheme="majorHAnsi" w:eastAsiaTheme="majorEastAsia" w:hAnsiTheme="majorHAnsi" w:cstheme="majorBidi"/>
      <w:b/>
      <w:bCs/>
      <w:i/>
      <w:iCs/>
      <w:color w:val="4F81BD" w:themeColor="accent1"/>
    </w:rPr>
  </w:style>
  <w:style w:type="paragraph" w:styleId="Heading5">
    <w:name w:val="heading 5"/>
    <w:basedOn w:val="Normal"/>
    <w:next w:val="Normal"/>
    <w:link w:val="Heading5Char"/>
    <w:uiPriority w:val="9"/>
    <w:semiHidden/>
    <w:unhideWhenUsed/>
    <w:qFormat/>
    <w:rsid w:val="00FC693F"/>
    <w:pPr>
      <w:keepNext/>
      <w:keepLines/>
      <w:spacing w:before="200" w:after="0"/>
      <w:outlineLvl w:val="4"/>
    </w:pPr>
    <w:rPr>
      <w:rFonts w:asciiTheme="majorHAnsi" w:eastAsiaTheme="majorEastAsia" w:hAnsiTheme="majorHAnsi" w:cstheme="majorBidi"/>
      <w:color w:val="243F60" w:themeColor="accent1" w:themeShade="7F"/>
    </w:rPr>
  </w:style>
  <w:style w:type="paragraph" w:styleId="Heading6">
    <w:name w:val="heading 6"/>
    <w:basedOn w:val="Normal"/>
    <w:next w:val="Normal"/>
    <w:link w:val="Heading6Char"/>
    <w:uiPriority w:val="9"/>
    <w:semiHidden/>
    <w:unhideWhenUsed/>
    <w:qFormat/>
    <w:rsid w:val="00FC693F"/>
    <w:pPr>
      <w:keepNext/>
      <w:keepLines/>
      <w:spacing w:before="200" w:after="0"/>
      <w:outlineLvl w:val="5"/>
    </w:pPr>
    <w:rPr>
      <w:rFonts w:asciiTheme="majorHAnsi" w:eastAsiaTheme="majorEastAsia" w:hAnsiTheme="majorHAnsi" w:cstheme="majorBidi"/>
      <w:i/>
      <w:iCs/>
      <w:color w:val="243F60" w:themeColor="accent1" w:themeShade="7F"/>
    </w:rPr>
  </w:style>
  <w:style w:type="paragraph" w:styleId="Heading7">
    <w:name w:val="heading 7"/>
    <w:basedOn w:val="Normal"/>
    <w:next w:val="Normal"/>
    <w:link w:val="Heading7Char"/>
    <w:uiPriority w:val="9"/>
    <w:semiHidden/>
    <w:unhideWhenUsed/>
    <w:qFormat/>
    <w:rsid w:val="00FC693F"/>
    <w:pPr>
      <w:keepNext/>
      <w:keepLines/>
      <w:spacing w:before="200" w:after="0"/>
      <w:outlineLvl w:val="6"/>
    </w:pPr>
    <w:rPr>
      <w:rFonts w:asciiTheme="majorHAnsi" w:eastAsiaTheme="majorEastAsia" w:hAnsiTheme="majorHAnsi" w:cstheme="majorBidi"/>
      <w:i/>
      <w:iCs/>
      <w:color w:val="404040" w:themeColor="text1" w:themeTint="BF"/>
    </w:rPr>
  </w:style>
  <w:style w:type="paragraph" w:styleId="Heading8">
    <w:name w:val="heading 8"/>
    <w:basedOn w:val="Normal"/>
    <w:next w:val="Normal"/>
    <w:link w:val="Heading8Char"/>
    <w:uiPriority w:val="9"/>
    <w:semiHidden/>
    <w:unhideWhenUsed/>
    <w:qFormat/>
    <w:rsid w:val="00FC693F"/>
    <w:pPr>
      <w:keepNext/>
      <w:keepLines/>
      <w:spacing w:before="200" w:after="0"/>
      <w:outlineLvl w:val="7"/>
    </w:pPr>
    <w:rPr>
      <w:rFonts w:asciiTheme="majorHAnsi" w:eastAsiaTheme="majorEastAsia" w:hAnsiTheme="majorHAnsi" w:cstheme="majorBidi"/>
      <w:color w:val="4F81BD" w:themeColor="accent1"/>
      <w:sz w:val="20"/>
      <w:szCs w:val="20"/>
    </w:rPr>
  </w:style>
  <w:style w:type="paragraph" w:styleId="Heading9">
    <w:name w:val="heading 9"/>
    <w:basedOn w:val="Normal"/>
    <w:next w:val="Normal"/>
    <w:link w:val="Heading9Char"/>
    <w:uiPriority w:val="9"/>
    <w:semiHidden/>
    <w:unhideWhenUsed/>
    <w:qFormat/>
    <w:rsid w:val="00FC693F"/>
    <w:pPr>
      <w:keepNext/>
      <w:keepLines/>
      <w:spacing w:before="200" w:after="0"/>
      <w:outlineLvl w:val="8"/>
    </w:pPr>
    <w:rPr>
      <w:rFonts w:asciiTheme="majorHAnsi" w:eastAsiaTheme="majorEastAsia" w:hAnsiTheme="majorHAnsi" w:cstheme="majorBidi"/>
      <w:i/>
      <w:iCs/>
      <w:color w:val="404040" w:themeColor="text1" w:themeTint="BF"/>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NoSpacing">
    <w:name w:val="No Spacing"/>
    <w:uiPriority w:val="1"/>
    <w:qFormat/>
    <w:rsid w:val="00FC693F"/>
    <w:pPr>
      <w:spacing w:after="0" w:line="240" w:lineRule="auto"/>
    </w:pPr>
  </w:style>
  <w:style w:type="character" w:customStyle="1" w:styleId="Heading1Char">
    <w:name w:val="Heading 1 Char"/>
    <w:basedOn w:val="DefaultParagraphFont"/>
    <w:link w:val="Heading1"/>
    <w:uiPriority w:val="9"/>
    <w:rsid w:val="00FC693F"/>
    <w:rPr>
      <w:rFonts w:asciiTheme="majorHAnsi" w:eastAsiaTheme="majorEastAsia" w:hAnsiTheme="majorHAnsi" w:cstheme="majorBidi"/>
      <w:b/>
      <w:bCs/>
      <w:color w:val="365F91" w:themeColor="accent1" w:themeShade="BF"/>
      <w:sz w:val="28"/>
      <w:szCs w:val="28"/>
    </w:rPr>
  </w:style>
  <w:style w:type="character" w:customStyle="1" w:styleId="Heading2Char">
    <w:name w:val="Heading 2 Char"/>
    <w:basedOn w:val="DefaultParagraphFont"/>
    <w:link w:val="Heading2"/>
    <w:uiPriority w:val="9"/>
    <w:rsid w:val="00FC693F"/>
    <w:rPr>
      <w:rFonts w:asciiTheme="majorHAnsi" w:eastAsiaTheme="majorEastAsia" w:hAnsiTheme="majorHAnsi" w:cstheme="majorBidi"/>
      <w:b/>
      <w:bCs/>
      <w:color w:val="4F81BD" w:themeColor="accent1"/>
      <w:sz w:val="26"/>
      <w:szCs w:val="26"/>
    </w:rPr>
  </w:style>
  <w:style w:type="character" w:customStyle="1" w:styleId="Heading3Char">
    <w:name w:val="Heading 3 Char"/>
    <w:basedOn w:val="DefaultParagraphFont"/>
    <w:link w:val="Heading3"/>
    <w:uiPriority w:val="9"/>
    <w:rsid w:val="00FC693F"/>
    <w:rPr>
      <w:rFonts w:asciiTheme="majorHAnsi" w:eastAsiaTheme="majorEastAsia" w:hAnsiTheme="majorHAnsi" w:cstheme="majorBidi"/>
      <w:b/>
      <w:bCs/>
      <w:color w:val="4F81BD" w:themeColor="accent1"/>
    </w:rPr>
  </w:style>
  <w:style w:type="paragraph" w:styleId="Title">
    <w:name w:val="Title"/>
    <w:basedOn w:val="Normal"/>
    <w:next w:val="Normal"/>
    <w:link w:val="TitleChar"/>
    <w:uiPriority w:val="10"/>
    <w:qFormat/>
    <w:rsid w:val="00FC693F"/>
    <w:pPr>
      <w:pBdr>
        <w:bottom w:val="single" w:sz="8" w:space="4" w:color="4F81BD" w:themeColor="accent1"/>
      </w:pBdr>
      <w:spacing w:after="300" w:line="240" w:lineRule="auto"/>
      <w:contextualSpacing/>
    </w:pPr>
    <w:rPr>
      <w:rFonts w:asciiTheme="majorHAnsi" w:eastAsiaTheme="majorEastAsia" w:hAnsiTheme="majorHAnsi" w:cstheme="majorBidi"/>
      <w:color w:val="17365D" w:themeColor="text2" w:themeShade="BF"/>
      <w:spacing w:val="5"/>
      <w:kern w:val="28"/>
      <w:sz w:val="52"/>
      <w:szCs w:val="52"/>
    </w:rPr>
  </w:style>
  <w:style w:type="character" w:customStyle="1" w:styleId="TitleChar">
    <w:name w:val="Title Char"/>
    <w:basedOn w:val="DefaultParagraphFont"/>
    <w:link w:val="Title"/>
    <w:uiPriority w:val="10"/>
    <w:rsid w:val="00FC693F"/>
    <w:rPr>
      <w:rFonts w:asciiTheme="majorHAnsi" w:eastAsiaTheme="majorEastAsia" w:hAnsiTheme="majorHAnsi" w:cstheme="majorBidi"/>
      <w:color w:val="17365D" w:themeColor="text2" w:themeShade="BF"/>
      <w:spacing w:val="5"/>
      <w:kern w:val="28"/>
      <w:sz w:val="52"/>
      <w:szCs w:val="52"/>
    </w:rPr>
  </w:style>
  <w:style w:type="paragraph" w:styleId="Subtitle">
    <w:name w:val="Subtitle"/>
    <w:basedOn w:val="Normal"/>
    <w:next w:val="Normal"/>
    <w:link w:val="SubtitleChar"/>
    <w:uiPriority w:val="11"/>
    <w:qFormat/>
    <w:rsid w:val="00FC693F"/>
    <w:pPr>
      <w:numPr>
        <w:ilvl w:val="1"/>
      </w:numPr>
    </w:pPr>
    <w:rPr>
      <w:rFonts w:asciiTheme="majorHAnsi" w:eastAsiaTheme="majorEastAsia" w:hAnsiTheme="majorHAnsi" w:cstheme="majorBidi"/>
      <w:i/>
      <w:iCs/>
      <w:color w:val="4F81BD" w:themeColor="accent1"/>
      <w:spacing w:val="15"/>
      <w:sz w:val="24"/>
      <w:szCs w:val="24"/>
    </w:rPr>
  </w:style>
  <w:style w:type="character" w:customStyle="1" w:styleId="SubtitleChar">
    <w:name w:val="Subtitle Char"/>
    <w:basedOn w:val="DefaultParagraphFont"/>
    <w:link w:val="Subtitle"/>
    <w:uiPriority w:val="11"/>
    <w:rsid w:val="00FC693F"/>
    <w:rPr>
      <w:rFonts w:asciiTheme="majorHAnsi" w:eastAsiaTheme="majorEastAsia" w:hAnsiTheme="majorHAnsi" w:cstheme="majorBidi"/>
      <w:i/>
      <w:iCs/>
      <w:color w:val="4F81BD" w:themeColor="accent1"/>
      <w:spacing w:val="15"/>
      <w:sz w:val="24"/>
      <w:szCs w:val="24"/>
    </w:rPr>
  </w:style>
  <w:style w:type="paragraph" w:styleId="ListParagraph">
    <w:name w:val="List Paragraph"/>
    <w:basedOn w:val="Normal"/>
    <w:uiPriority w:val="34"/>
    <w:qFormat/>
    <w:rsid w:val="00FC693F"/>
    <w:pPr>
      <w:ind w:left="720"/>
      <w:contextualSpacing/>
    </w:pPr>
  </w:style>
  <w:style w:type="paragraph" w:styleId="BodyText">
    <w:name w:val="Body Text"/>
    <w:basedOn w:val="Normal"/>
    <w:link w:val="BodyTextChar"/>
    <w:uiPriority w:val="99"/>
    <w:unhideWhenUsed/>
    <w:rsid w:val="00AA1D8D"/>
    <w:pPr>
      <w:spacing w:after="120"/>
    </w:pPr>
  </w:style>
  <w:style w:type="character" w:customStyle="1" w:styleId="BodyTextChar">
    <w:name w:val="Body Text Char"/>
    <w:basedOn w:val="DefaultParagraphFont"/>
    <w:link w:val="BodyText"/>
    <w:uiPriority w:val="99"/>
    <w:rsid w:val="00AA1D8D"/>
  </w:style>
  <w:style w:type="paragraph" w:styleId="BodyText2">
    <w:name w:val="Body Text 2"/>
    <w:basedOn w:val="Normal"/>
    <w:link w:val="BodyText2Char"/>
    <w:uiPriority w:val="99"/>
    <w:unhideWhenUsed/>
    <w:rsid w:val="00AA1D8D"/>
    <w:pPr>
      <w:spacing w:after="120" w:line="480" w:lineRule="auto"/>
    </w:pPr>
  </w:style>
  <w:style w:type="character" w:customStyle="1" w:styleId="BodyText2Char">
    <w:name w:val="Body Text 2 Char"/>
    <w:basedOn w:val="DefaultParagraphFont"/>
    <w:link w:val="BodyText2"/>
    <w:uiPriority w:val="99"/>
    <w:rsid w:val="00AA1D8D"/>
  </w:style>
  <w:style w:type="paragraph" w:styleId="BodyText3">
    <w:name w:val="Body Text 3"/>
    <w:basedOn w:val="Normal"/>
    <w:link w:val="BodyText3Char"/>
    <w:uiPriority w:val="99"/>
    <w:unhideWhenUsed/>
    <w:rsid w:val="00AA1D8D"/>
    <w:pPr>
      <w:spacing w:after="120"/>
    </w:pPr>
    <w:rPr>
      <w:sz w:val="16"/>
      <w:szCs w:val="16"/>
    </w:rPr>
  </w:style>
  <w:style w:type="character" w:customStyle="1" w:styleId="BodyText3Char">
    <w:name w:val="Body Text 3 Char"/>
    <w:basedOn w:val="DefaultParagraphFont"/>
    <w:link w:val="BodyText3"/>
    <w:uiPriority w:val="99"/>
    <w:rsid w:val="00AA1D8D"/>
    <w:rPr>
      <w:sz w:val="16"/>
      <w:szCs w:val="16"/>
    </w:rPr>
  </w:style>
  <w:style w:type="paragraph" w:styleId="List">
    <w:name w:val="List"/>
    <w:basedOn w:val="Normal"/>
    <w:uiPriority w:val="99"/>
    <w:unhideWhenUsed/>
    <w:rsid w:val="00AA1D8D"/>
    <w:pPr>
      <w:ind w:left="360" w:hanging="360"/>
      <w:contextualSpacing/>
    </w:pPr>
  </w:style>
  <w:style w:type="paragraph" w:styleId="List2">
    <w:name w:val="List 2"/>
    <w:basedOn w:val="Normal"/>
    <w:uiPriority w:val="99"/>
    <w:unhideWhenUsed/>
    <w:rsid w:val="00326F90"/>
    <w:pPr>
      <w:ind w:left="720" w:hanging="360"/>
      <w:contextualSpacing/>
    </w:pPr>
  </w:style>
  <w:style w:type="paragraph" w:styleId="List3">
    <w:name w:val="List 3"/>
    <w:basedOn w:val="Normal"/>
    <w:uiPriority w:val="99"/>
    <w:unhideWhenUsed/>
    <w:rsid w:val="00326F90"/>
    <w:pPr>
      <w:ind w:left="1080" w:hanging="360"/>
      <w:contextualSpacing/>
    </w:pPr>
  </w:style>
  <w:style w:type="paragraph" w:styleId="ListBullet">
    <w:name w:val="List Bullet"/>
    <w:basedOn w:val="Normal"/>
    <w:uiPriority w:val="99"/>
    <w:unhideWhenUsed/>
    <w:rsid w:val="00326F90"/>
    <w:pPr>
      <w:numPr>
        <w:numId w:val="1"/>
      </w:numPr>
      <w:contextualSpacing/>
    </w:pPr>
  </w:style>
  <w:style w:type="paragraph" w:styleId="ListBullet2">
    <w:name w:val="List Bullet 2"/>
    <w:basedOn w:val="Normal"/>
    <w:uiPriority w:val="99"/>
    <w:unhideWhenUsed/>
    <w:rsid w:val="00326F90"/>
    <w:pPr>
      <w:numPr>
        <w:numId w:val="2"/>
      </w:numPr>
      <w:contextualSpacing/>
    </w:pPr>
  </w:style>
  <w:style w:type="paragraph" w:styleId="ListBullet3">
    <w:name w:val="List Bullet 3"/>
    <w:basedOn w:val="Normal"/>
    <w:uiPriority w:val="99"/>
    <w:unhideWhenUsed/>
    <w:rsid w:val="00326F90"/>
    <w:pPr>
      <w:numPr>
        <w:numId w:val="3"/>
      </w:numPr>
      <w:contextualSpacing/>
    </w:pPr>
  </w:style>
  <w:style w:type="paragraph" w:styleId="ListNumber">
    <w:name w:val="List Number"/>
    <w:basedOn w:val="Normal"/>
    <w:uiPriority w:val="99"/>
    <w:unhideWhenUsed/>
    <w:rsid w:val="00326F90"/>
    <w:pPr>
      <w:numPr>
        <w:numId w:val="5"/>
      </w:numPr>
      <w:contextualSpacing/>
    </w:pPr>
  </w:style>
  <w:style w:type="paragraph" w:styleId="ListNumber2">
    <w:name w:val="List Number 2"/>
    <w:basedOn w:val="Normal"/>
    <w:uiPriority w:val="99"/>
    <w:unhideWhenUsed/>
    <w:rsid w:val="0029639D"/>
    <w:pPr>
      <w:numPr>
        <w:numId w:val="6"/>
      </w:numPr>
      <w:contextualSpacing/>
    </w:pPr>
  </w:style>
  <w:style w:type="paragraph" w:styleId="ListNumber3">
    <w:name w:val="List Number 3"/>
    <w:basedOn w:val="Normal"/>
    <w:uiPriority w:val="99"/>
    <w:unhideWhenUsed/>
    <w:rsid w:val="0029639D"/>
    <w:pPr>
      <w:numPr>
        <w:numId w:val="7"/>
      </w:numPr>
      <w:contextualSpacing/>
    </w:pPr>
  </w:style>
  <w:style w:type="paragraph" w:styleId="ListContinue">
    <w:name w:val="List Continue"/>
    <w:basedOn w:val="Normal"/>
    <w:uiPriority w:val="99"/>
    <w:unhideWhenUsed/>
    <w:rsid w:val="0029639D"/>
    <w:pPr>
      <w:spacing w:after="120"/>
      <w:ind w:left="360"/>
      <w:contextualSpacing/>
    </w:pPr>
  </w:style>
  <w:style w:type="paragraph" w:styleId="ListContinue2">
    <w:name w:val="List Continue 2"/>
    <w:basedOn w:val="Normal"/>
    <w:uiPriority w:val="99"/>
    <w:unhideWhenUsed/>
    <w:rsid w:val="0029639D"/>
    <w:pPr>
      <w:spacing w:after="120"/>
      <w:ind w:left="720"/>
      <w:contextualSpacing/>
    </w:pPr>
  </w:style>
  <w:style w:type="paragraph" w:styleId="ListContinue3">
    <w:name w:val="List Continue 3"/>
    <w:basedOn w:val="Normal"/>
    <w:uiPriority w:val="99"/>
    <w:unhideWhenUsed/>
    <w:rsid w:val="0029639D"/>
    <w:pPr>
      <w:spacing w:after="120"/>
      <w:ind w:left="1080"/>
      <w:contextualSpacing/>
    </w:pPr>
  </w:style>
  <w:style w:type="paragraph" w:styleId="MacroText">
    <w:name w:val="macro"/>
    <w:link w:val="MacroTextChar"/>
    <w:uiPriority w:val="99"/>
    <w:unhideWhenUsed/>
    <w:rsid w:val="0029639D"/>
    <w:pPr>
      <w:tabs>
        <w:tab w:val="left" w:pos="576"/>
        <w:tab w:val="left" w:pos="1152"/>
        <w:tab w:val="left" w:pos="1728"/>
        <w:tab w:val="left" w:pos="2304"/>
        <w:tab w:val="left" w:pos="2880"/>
        <w:tab w:val="left" w:pos="3456"/>
        <w:tab w:val="left" w:pos="4032"/>
      </w:tabs>
    </w:pPr>
    <w:rPr>
      <w:rFonts w:ascii="Courier" w:hAnsi="Courier"/>
      <w:sz w:val="20"/>
      <w:szCs w:val="20"/>
    </w:rPr>
  </w:style>
  <w:style w:type="character" w:customStyle="1" w:styleId="MacroTextChar">
    <w:name w:val="Macro Text Char"/>
    <w:basedOn w:val="DefaultParagraphFont"/>
    <w:link w:val="MacroText"/>
    <w:uiPriority w:val="99"/>
    <w:rsid w:val="0029639D"/>
    <w:rPr>
      <w:rFonts w:ascii="Courier" w:hAnsi="Courier"/>
      <w:sz w:val="20"/>
      <w:szCs w:val="20"/>
    </w:rPr>
  </w:style>
  <w:style w:type="paragraph" w:styleId="Quote">
    <w:name w:val="Quote"/>
    <w:basedOn w:val="Normal"/>
    <w:next w:val="Normal"/>
    <w:link w:val="QuoteChar"/>
    <w:uiPriority w:val="29"/>
    <w:qFormat/>
    <w:rsid w:val="00FC693F"/>
    <w:rPr>
      <w:i/>
      <w:iCs/>
      <w:color w:val="000000" w:themeColor="text1"/>
    </w:rPr>
  </w:style>
  <w:style w:type="character" w:customStyle="1" w:styleId="QuoteChar">
    <w:name w:val="Quote Char"/>
    <w:basedOn w:val="DefaultParagraphFont"/>
    <w:link w:val="Quote"/>
    <w:uiPriority w:val="29"/>
    <w:rsid w:val="00FC693F"/>
    <w:rPr>
      <w:i/>
      <w:iCs/>
      <w:color w:val="000000" w:themeColor="text1"/>
    </w:rPr>
  </w:style>
  <w:style w:type="character" w:customStyle="1" w:styleId="Heading4Char">
    <w:name w:val="Heading 4 Char"/>
    <w:basedOn w:val="DefaultParagraphFont"/>
    <w:link w:val="Heading4"/>
    <w:uiPriority w:val="9"/>
    <w:semiHidden/>
    <w:rsid w:val="00FC693F"/>
    <w:rPr>
      <w:rFonts w:asciiTheme="majorHAnsi" w:eastAsiaTheme="majorEastAsia" w:hAnsiTheme="majorHAnsi" w:cstheme="majorBidi"/>
      <w:b/>
      <w:bCs/>
      <w:i/>
      <w:iCs/>
      <w:color w:val="4F81BD" w:themeColor="accent1"/>
    </w:rPr>
  </w:style>
  <w:style w:type="character" w:customStyle="1" w:styleId="Heading5Char">
    <w:name w:val="Heading 5 Char"/>
    <w:basedOn w:val="DefaultParagraphFont"/>
    <w:link w:val="Heading5"/>
    <w:uiPriority w:val="9"/>
    <w:semiHidden/>
    <w:rsid w:val="00FC693F"/>
    <w:rPr>
      <w:rFonts w:asciiTheme="majorHAnsi" w:eastAsiaTheme="majorEastAsia" w:hAnsiTheme="majorHAnsi" w:cstheme="majorBidi"/>
      <w:color w:val="243F60" w:themeColor="accent1" w:themeShade="7F"/>
    </w:rPr>
  </w:style>
  <w:style w:type="character" w:customStyle="1" w:styleId="Heading6Char">
    <w:name w:val="Heading 6 Char"/>
    <w:basedOn w:val="DefaultParagraphFont"/>
    <w:link w:val="Heading6"/>
    <w:uiPriority w:val="9"/>
    <w:semiHidden/>
    <w:rsid w:val="00FC693F"/>
    <w:rPr>
      <w:rFonts w:asciiTheme="majorHAnsi" w:eastAsiaTheme="majorEastAsia" w:hAnsiTheme="majorHAnsi" w:cstheme="majorBidi"/>
      <w:i/>
      <w:iCs/>
      <w:color w:val="243F60" w:themeColor="accent1" w:themeShade="7F"/>
    </w:rPr>
  </w:style>
  <w:style w:type="character" w:customStyle="1" w:styleId="Heading7Char">
    <w:name w:val="Heading 7 Char"/>
    <w:basedOn w:val="DefaultParagraphFont"/>
    <w:link w:val="Heading7"/>
    <w:uiPriority w:val="9"/>
    <w:semiHidden/>
    <w:rsid w:val="00FC693F"/>
    <w:rPr>
      <w:rFonts w:asciiTheme="majorHAnsi" w:eastAsiaTheme="majorEastAsia" w:hAnsiTheme="majorHAnsi" w:cstheme="majorBidi"/>
      <w:i/>
      <w:iCs/>
      <w:color w:val="404040" w:themeColor="text1" w:themeTint="BF"/>
    </w:rPr>
  </w:style>
  <w:style w:type="character" w:customStyle="1" w:styleId="Heading8Char">
    <w:name w:val="Heading 8 Char"/>
    <w:basedOn w:val="DefaultParagraphFont"/>
    <w:link w:val="Heading8"/>
    <w:uiPriority w:val="9"/>
    <w:semiHidden/>
    <w:rsid w:val="00FC693F"/>
    <w:rPr>
      <w:rFonts w:asciiTheme="majorHAnsi" w:eastAsiaTheme="majorEastAsia" w:hAnsiTheme="majorHAnsi" w:cstheme="majorBidi"/>
      <w:color w:val="4F81BD" w:themeColor="accent1"/>
      <w:sz w:val="20"/>
      <w:szCs w:val="20"/>
    </w:rPr>
  </w:style>
  <w:style w:type="character" w:customStyle="1" w:styleId="Heading9Char">
    <w:name w:val="Heading 9 Char"/>
    <w:basedOn w:val="DefaultParagraphFont"/>
    <w:link w:val="Heading9"/>
    <w:uiPriority w:val="9"/>
    <w:semiHidden/>
    <w:rsid w:val="00FC693F"/>
    <w:rPr>
      <w:rFonts w:asciiTheme="majorHAnsi" w:eastAsiaTheme="majorEastAsia" w:hAnsiTheme="majorHAnsi" w:cstheme="majorBidi"/>
      <w:i/>
      <w:iCs/>
      <w:color w:val="404040" w:themeColor="text1" w:themeTint="BF"/>
      <w:sz w:val="20"/>
      <w:szCs w:val="20"/>
    </w:rPr>
  </w:style>
  <w:style w:type="paragraph" w:styleId="Caption">
    <w:name w:val="caption"/>
    <w:basedOn w:val="Normal"/>
    <w:next w:val="Normal"/>
    <w:uiPriority w:val="35"/>
    <w:semiHidden/>
    <w:unhideWhenUsed/>
    <w:qFormat/>
    <w:rsid w:val="00FC693F"/>
    <w:pPr>
      <w:spacing w:line="240" w:lineRule="auto"/>
    </w:pPr>
    <w:rPr>
      <w:b/>
      <w:bCs/>
      <w:color w:val="4F81BD" w:themeColor="accent1"/>
      <w:sz w:val="18"/>
      <w:szCs w:val="18"/>
    </w:rPr>
  </w:style>
  <w:style w:type="character" w:styleId="Strong">
    <w:name w:val="Strong"/>
    <w:basedOn w:val="DefaultParagraphFont"/>
    <w:uiPriority w:val="22"/>
    <w:qFormat/>
    <w:rsid w:val="00FC693F"/>
    <w:rPr>
      <w:b/>
      <w:bCs/>
    </w:rPr>
  </w:style>
  <w:style w:type="character" w:styleId="Emphasis">
    <w:name w:val="Emphasis"/>
    <w:basedOn w:val="DefaultParagraphFont"/>
    <w:uiPriority w:val="20"/>
    <w:qFormat/>
    <w:rsid w:val="00FC693F"/>
    <w:rPr>
      <w:i/>
      <w:iCs/>
    </w:rPr>
  </w:style>
  <w:style w:type="paragraph" w:styleId="IntenseQuote">
    <w:name w:val="Intense Quote"/>
    <w:basedOn w:val="Normal"/>
    <w:next w:val="Normal"/>
    <w:link w:val="IntenseQuoteChar"/>
    <w:uiPriority w:val="30"/>
    <w:qFormat/>
    <w:rsid w:val="00FC693F"/>
    <w:pPr>
      <w:pBdr>
        <w:bottom w:val="single" w:sz="4" w:space="4" w:color="4F81BD" w:themeColor="accent1"/>
      </w:pBdr>
      <w:spacing w:before="200" w:after="280"/>
      <w:ind w:left="936" w:right="936"/>
    </w:pPr>
    <w:rPr>
      <w:b/>
      <w:bCs/>
      <w:i/>
      <w:iCs/>
      <w:color w:val="4F81BD" w:themeColor="accent1"/>
    </w:rPr>
  </w:style>
  <w:style w:type="character" w:customStyle="1" w:styleId="IntenseQuoteChar">
    <w:name w:val="Intense Quote Char"/>
    <w:basedOn w:val="DefaultParagraphFont"/>
    <w:link w:val="IntenseQuote"/>
    <w:uiPriority w:val="30"/>
    <w:rsid w:val="00FC693F"/>
    <w:rPr>
      <w:b/>
      <w:bCs/>
      <w:i/>
      <w:iCs/>
      <w:color w:val="4F81BD" w:themeColor="accent1"/>
    </w:rPr>
  </w:style>
  <w:style w:type="character" w:styleId="SubtleEmphasis">
    <w:name w:val="Subtle Emphasis"/>
    <w:basedOn w:val="DefaultParagraphFont"/>
    <w:uiPriority w:val="19"/>
    <w:qFormat/>
    <w:rsid w:val="00FC693F"/>
    <w:rPr>
      <w:i/>
      <w:iCs/>
      <w:color w:val="808080" w:themeColor="text1" w:themeTint="7F"/>
    </w:rPr>
  </w:style>
  <w:style w:type="character" w:styleId="IntenseEmphasis">
    <w:name w:val="Intense Emphasis"/>
    <w:basedOn w:val="DefaultParagraphFont"/>
    <w:uiPriority w:val="21"/>
    <w:qFormat/>
    <w:rsid w:val="00FC693F"/>
    <w:rPr>
      <w:b/>
      <w:bCs/>
      <w:i/>
      <w:iCs/>
      <w:color w:val="4F81BD" w:themeColor="accent1"/>
    </w:rPr>
  </w:style>
  <w:style w:type="character" w:styleId="SubtleReference">
    <w:name w:val="Subtle Reference"/>
    <w:basedOn w:val="DefaultParagraphFont"/>
    <w:uiPriority w:val="31"/>
    <w:qFormat/>
    <w:rsid w:val="00FC693F"/>
    <w:rPr>
      <w:smallCaps/>
      <w:color w:val="C0504D" w:themeColor="accent2"/>
      <w:u w:val="single"/>
    </w:rPr>
  </w:style>
  <w:style w:type="character" w:styleId="IntenseReference">
    <w:name w:val="Intense Reference"/>
    <w:basedOn w:val="DefaultParagraphFont"/>
    <w:uiPriority w:val="32"/>
    <w:qFormat/>
    <w:rsid w:val="00FC693F"/>
    <w:rPr>
      <w:b/>
      <w:bCs/>
      <w:smallCaps/>
      <w:color w:val="C0504D" w:themeColor="accent2"/>
      <w:spacing w:val="5"/>
      <w:u w:val="single"/>
    </w:rPr>
  </w:style>
  <w:style w:type="character" w:styleId="BookTitle">
    <w:name w:val="Book Title"/>
    <w:basedOn w:val="DefaultParagraphFont"/>
    <w:uiPriority w:val="33"/>
    <w:qFormat/>
    <w:rsid w:val="00FC693F"/>
    <w:rPr>
      <w:b/>
      <w:bCs/>
      <w:smallCaps/>
      <w:spacing w:val="5"/>
    </w:rPr>
  </w:style>
  <w:style w:type="paragraph" w:styleId="TOCHeading">
    <w:name w:val="TOC Heading"/>
    <w:basedOn w:val="Heading1"/>
    <w:next w:val="Normal"/>
    <w:uiPriority w:val="39"/>
    <w:semiHidden/>
    <w:unhideWhenUsed/>
    <w:qFormat/>
    <w:rsid w:val="00FC693F"/>
    <w:pPr>
      <w:outlineLvl w:val="9"/>
    </w:pPr>
  </w:style>
  <w:style w:type="table" w:styleId="TableGrid">
    <w:name w:val="Table Grid"/>
    <w:basedOn w:val="TableNormal"/>
    <w:uiPriority w:val="59"/>
    <w:rsid w:val="00FC693F"/>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styleId="LightShading">
    <w:name w:val="Light Shading"/>
    <w:basedOn w:val="TableNormal"/>
    <w:uiPriority w:val="60"/>
    <w:rsid w:val="00FC693F"/>
    <w:pPr>
      <w:spacing w:after="0" w:line="240" w:lineRule="auto"/>
    </w:pPr>
    <w:rPr>
      <w:color w:val="000000" w:themeColor="text1" w:themeShade="BF"/>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la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left w:val="nil"/>
          <w:right w:val="nil"/>
          <w:insideH w:val="nil"/>
          <w:insideV w:val="nil"/>
        </w:tcBorders>
        <w:shd w:val="clear" w:color="auto" w:fill="C0C0C0" w:themeFill="text1" w:themeFillTint="3F"/>
      </w:tcPr>
    </w:tblStylePr>
  </w:style>
  <w:style w:type="table" w:styleId="LightShading-Accent1">
    <w:name w:val="Light Shading Accent 1"/>
    <w:basedOn w:val="TableNormal"/>
    <w:uiPriority w:val="60"/>
    <w:rsid w:val="00FC693F"/>
    <w:pPr>
      <w:spacing w:after="0" w:line="240" w:lineRule="auto"/>
    </w:pPr>
    <w:rPr>
      <w:color w:val="365F91" w:themeColor="accent1" w:themeShade="BF"/>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la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left w:val="nil"/>
          <w:right w:val="nil"/>
          <w:insideH w:val="nil"/>
          <w:insideV w:val="nil"/>
        </w:tcBorders>
        <w:shd w:val="clear" w:color="auto" w:fill="D3DFEE" w:themeFill="accent1" w:themeFillTint="3F"/>
      </w:tcPr>
    </w:tblStylePr>
  </w:style>
  <w:style w:type="table" w:styleId="LightShading-Accent2">
    <w:name w:val="Light Shading Accent 2"/>
    <w:basedOn w:val="TableNormal"/>
    <w:uiPriority w:val="60"/>
    <w:rsid w:val="00FC693F"/>
    <w:pPr>
      <w:spacing w:after="0" w:line="240" w:lineRule="auto"/>
    </w:pPr>
    <w:rPr>
      <w:color w:val="943634" w:themeColor="accent2" w:themeShade="BF"/>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la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left w:val="nil"/>
          <w:right w:val="nil"/>
          <w:insideH w:val="nil"/>
          <w:insideV w:val="nil"/>
        </w:tcBorders>
        <w:shd w:val="clear" w:color="auto" w:fill="EFD3D2" w:themeFill="accent2" w:themeFillTint="3F"/>
      </w:tcPr>
    </w:tblStylePr>
  </w:style>
  <w:style w:type="table" w:styleId="LightShading-Accent3">
    <w:name w:val="Light Shading Accent 3"/>
    <w:basedOn w:val="TableNormal"/>
    <w:uiPriority w:val="60"/>
    <w:rsid w:val="00FC693F"/>
    <w:pPr>
      <w:spacing w:after="0" w:line="240" w:lineRule="auto"/>
    </w:pPr>
    <w:rPr>
      <w:color w:val="76923C" w:themeColor="accent3" w:themeShade="BF"/>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la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left w:val="nil"/>
          <w:right w:val="nil"/>
          <w:insideH w:val="nil"/>
          <w:insideV w:val="nil"/>
        </w:tcBorders>
        <w:shd w:val="clear" w:color="auto" w:fill="E6EED5" w:themeFill="accent3" w:themeFillTint="3F"/>
      </w:tcPr>
    </w:tblStylePr>
  </w:style>
  <w:style w:type="table" w:styleId="LightShading-Accent4">
    <w:name w:val="Light Shading Accent 4"/>
    <w:basedOn w:val="TableNormal"/>
    <w:uiPriority w:val="60"/>
    <w:rsid w:val="00FC693F"/>
    <w:pPr>
      <w:spacing w:after="0" w:line="240" w:lineRule="auto"/>
    </w:pPr>
    <w:rPr>
      <w:color w:val="5F497A" w:themeColor="accent4" w:themeShade="BF"/>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la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left w:val="nil"/>
          <w:right w:val="nil"/>
          <w:insideH w:val="nil"/>
          <w:insideV w:val="nil"/>
        </w:tcBorders>
        <w:shd w:val="clear" w:color="auto" w:fill="DFD8E8" w:themeFill="accent4" w:themeFillTint="3F"/>
      </w:tcPr>
    </w:tblStylePr>
  </w:style>
  <w:style w:type="table" w:styleId="LightShading-Accent5">
    <w:name w:val="Light Shading Accent 5"/>
    <w:basedOn w:val="TableNormal"/>
    <w:uiPriority w:val="60"/>
    <w:rsid w:val="00FC693F"/>
    <w:pPr>
      <w:spacing w:after="0" w:line="240" w:lineRule="auto"/>
    </w:pPr>
    <w:rPr>
      <w:color w:val="31849B" w:themeColor="accent5" w:themeShade="BF"/>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la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left w:val="nil"/>
          <w:right w:val="nil"/>
          <w:insideH w:val="nil"/>
          <w:insideV w:val="nil"/>
        </w:tcBorders>
        <w:shd w:val="clear" w:color="auto" w:fill="D2EAF1" w:themeFill="accent5" w:themeFillTint="3F"/>
      </w:tcPr>
    </w:tblStylePr>
  </w:style>
  <w:style w:type="table" w:styleId="LightShading-Accent6">
    <w:name w:val="Light Shading Accent 6"/>
    <w:basedOn w:val="TableNormal"/>
    <w:uiPriority w:val="60"/>
    <w:rsid w:val="00FC693F"/>
    <w:pPr>
      <w:spacing w:after="0" w:line="240" w:lineRule="auto"/>
    </w:pPr>
    <w:rPr>
      <w:color w:val="E36C0A" w:themeColor="accent6" w:themeShade="BF"/>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la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left w:val="nil"/>
          <w:right w:val="nil"/>
          <w:insideH w:val="nil"/>
          <w:insideV w:val="nil"/>
        </w:tcBorders>
        <w:shd w:val="clear" w:color="auto" w:fill="FDE4D0" w:themeFill="accent6" w:themeFillTint="3F"/>
      </w:tcPr>
    </w:tblStylePr>
  </w:style>
  <w:style w:type="table" w:styleId="LightList">
    <w:name w:val="Light List"/>
    <w:basedOn w:val="TableNormal"/>
    <w:uiPriority w:val="61"/>
    <w:rsid w:val="00FC693F"/>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000000" w:themeFill="text1"/>
      </w:tcPr>
    </w:tblStylePr>
    <w:tblStylePr w:type="lastRow">
      <w:pPr>
        <w:spacing w:before="0" w:after="0" w:line="240" w:lineRule="auto"/>
      </w:pPr>
      <w:rPr>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tcBorders>
      </w:tcPr>
    </w:tblStylePr>
    <w:tblStylePr w:type="firstCol">
      <w:rPr>
        <w:b/>
        <w:bCs/>
      </w:rPr>
    </w:tblStylePr>
    <w:tblStylePr w:type="lastCol">
      <w:rPr>
        <w:b/>
        <w:bCs/>
      </w:r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style>
  <w:style w:type="table" w:styleId="LightList-Accent1">
    <w:name w:val="Light List Accent 1"/>
    <w:basedOn w:val="TableNormal"/>
    <w:uiPriority w:val="61"/>
    <w:rsid w:val="00FC693F"/>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F81BD" w:themeFill="accent1"/>
      </w:tcPr>
    </w:tblStylePr>
    <w:tblStylePr w:type="lastRow">
      <w:pPr>
        <w:spacing w:before="0" w:after="0" w:line="240" w:lineRule="auto"/>
      </w:pPr>
      <w:rPr>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tcBorders>
      </w:tcPr>
    </w:tblStylePr>
    <w:tblStylePr w:type="firstCol">
      <w:rPr>
        <w:b/>
        <w:bCs/>
      </w:rPr>
    </w:tblStylePr>
    <w:tblStylePr w:type="lastCol">
      <w:rPr>
        <w:b/>
        <w:bCs/>
      </w:r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style>
  <w:style w:type="table" w:styleId="LightList-Accent2">
    <w:name w:val="Light List Accent 2"/>
    <w:basedOn w:val="TableNormal"/>
    <w:uiPriority w:val="61"/>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C0504D" w:themeFill="accent2"/>
      </w:tcPr>
    </w:tblStylePr>
    <w:tblStylePr w:type="lastRow">
      <w:pPr>
        <w:spacing w:before="0" w:after="0" w:line="240" w:lineRule="auto"/>
      </w:pPr>
      <w:rPr>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tcBorders>
      </w:tcPr>
    </w:tblStylePr>
    <w:tblStylePr w:type="firstCol">
      <w:rPr>
        <w:b/>
        <w:bCs/>
      </w:rPr>
    </w:tblStylePr>
    <w:tblStylePr w:type="lastCol">
      <w:rPr>
        <w:b/>
        <w:bCs/>
      </w:r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style>
  <w:style w:type="table" w:styleId="LightList-Accent3">
    <w:name w:val="Light List Accent 3"/>
    <w:basedOn w:val="TableNormal"/>
    <w:uiPriority w:val="61"/>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9BBB59" w:themeFill="accent3"/>
      </w:tcPr>
    </w:tblStylePr>
    <w:tblStylePr w:type="lastRow">
      <w:pPr>
        <w:spacing w:before="0" w:after="0" w:line="240" w:lineRule="auto"/>
      </w:pPr>
      <w:rPr>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tcBorders>
      </w:tcPr>
    </w:tblStylePr>
    <w:tblStylePr w:type="firstCol">
      <w:rPr>
        <w:b/>
        <w:bCs/>
      </w:rPr>
    </w:tblStylePr>
    <w:tblStylePr w:type="lastCol">
      <w:rPr>
        <w:b/>
        <w:bCs/>
      </w:r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style>
  <w:style w:type="table" w:styleId="LightList-Accent4">
    <w:name w:val="Light List Accent 4"/>
    <w:basedOn w:val="TableNormal"/>
    <w:uiPriority w:val="61"/>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8064A2" w:themeFill="accent4"/>
      </w:tcPr>
    </w:tblStylePr>
    <w:tblStylePr w:type="lastRow">
      <w:pPr>
        <w:spacing w:before="0" w:after="0" w:line="240" w:lineRule="auto"/>
      </w:pPr>
      <w:rPr>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tcBorders>
      </w:tcPr>
    </w:tblStylePr>
    <w:tblStylePr w:type="firstCol">
      <w:rPr>
        <w:b/>
        <w:bCs/>
      </w:rPr>
    </w:tblStylePr>
    <w:tblStylePr w:type="lastCol">
      <w:rPr>
        <w:b/>
        <w:bCs/>
      </w:r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style>
  <w:style w:type="table" w:styleId="LightList-Accent5">
    <w:name w:val="Light List Accent 5"/>
    <w:basedOn w:val="TableNormal"/>
    <w:uiPriority w:val="61"/>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BACC6" w:themeFill="accent5"/>
      </w:tcPr>
    </w:tblStylePr>
    <w:tblStylePr w:type="lastRow">
      <w:pPr>
        <w:spacing w:before="0" w:after="0" w:line="240" w:lineRule="auto"/>
      </w:pPr>
      <w:rPr>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tcBorders>
      </w:tcPr>
    </w:tblStylePr>
    <w:tblStylePr w:type="firstCol">
      <w:rPr>
        <w:b/>
        <w:bCs/>
      </w:rPr>
    </w:tblStylePr>
    <w:tblStylePr w:type="lastCol">
      <w:rPr>
        <w:b/>
        <w:bCs/>
      </w:r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style>
  <w:style w:type="table" w:styleId="LightList-Accent6">
    <w:name w:val="Light List Accent 6"/>
    <w:basedOn w:val="TableNormal"/>
    <w:uiPriority w:val="61"/>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F79646" w:themeFill="accent6"/>
      </w:tcPr>
    </w:tblStylePr>
    <w:tblStylePr w:type="lastRow">
      <w:pPr>
        <w:spacing w:before="0" w:after="0" w:line="240" w:lineRule="auto"/>
      </w:pPr>
      <w:rPr>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tcBorders>
      </w:tcPr>
    </w:tblStylePr>
    <w:tblStylePr w:type="firstCol">
      <w:rPr>
        <w:b/>
        <w:bCs/>
      </w:rPr>
    </w:tblStylePr>
    <w:tblStylePr w:type="lastCol">
      <w:rPr>
        <w:b/>
        <w:bCs/>
      </w:r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style>
  <w:style w:type="table" w:styleId="LightGrid">
    <w:name w:val="Light Grid"/>
    <w:basedOn w:val="TableNormal"/>
    <w:uiPriority w:val="62"/>
    <w:rsid w:val="00CB0664"/>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18" w:space="0" w:color="000000" w:themeColor="text1"/>
          <w:right w:val="single" w:sz="8" w:space="0" w:color="000000" w:themeColor="text1"/>
          <w:insideH w:val="nil"/>
          <w:insideV w:val="single" w:sz="8" w:space="0" w:color="000000" w:themeColor="tex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insideH w:val="nil"/>
          <w:insideV w:val="single" w:sz="8" w:space="0" w:color="000000" w:themeColor="tex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C0C0C0" w:themeFill="text1" w:themeFillTint="3F"/>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shd w:val="clear" w:color="auto" w:fill="C0C0C0" w:themeFill="text1" w:themeFillTint="3F"/>
      </w:tcPr>
    </w:tblStylePr>
    <w:tblStylePr w:type="band2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tcPr>
    </w:tblStylePr>
  </w:style>
  <w:style w:type="table" w:styleId="LightGrid-Accent1">
    <w:name w:val="Light Grid Accent 1"/>
    <w:basedOn w:val="TableNormal"/>
    <w:uiPriority w:val="62"/>
    <w:rsid w:val="00CB0664"/>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18" w:space="0" w:color="4F81BD" w:themeColor="accent1"/>
          <w:right w:val="single" w:sz="8" w:space="0" w:color="4F81BD" w:themeColor="accent1"/>
          <w:insideH w:val="nil"/>
          <w:insideV w:val="single" w:sz="8" w:space="0" w:color="4F81BD" w:themeColor="accen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insideH w:val="nil"/>
          <w:insideV w:val="single" w:sz="8" w:space="0" w:color="4F81BD" w:themeColor="accen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shd w:val="clear" w:color="auto" w:fill="D3DFEE" w:themeFill="accent1" w:themeFillTint="3F"/>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shd w:val="clear" w:color="auto" w:fill="D3DFEE" w:themeFill="accent1" w:themeFillTint="3F"/>
      </w:tcPr>
    </w:tblStylePr>
    <w:tblStylePr w:type="band2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tcPr>
    </w:tblStylePr>
  </w:style>
  <w:style w:type="table" w:styleId="LightGrid-Accent2">
    <w:name w:val="Light Grid Accent 2"/>
    <w:basedOn w:val="TableNormal"/>
    <w:uiPriority w:val="62"/>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18" w:space="0" w:color="C0504D" w:themeColor="accent2"/>
          <w:right w:val="single" w:sz="8" w:space="0" w:color="C0504D" w:themeColor="accent2"/>
          <w:insideH w:val="nil"/>
          <w:insideV w:val="single" w:sz="8" w:space="0" w:color="C0504D" w:themeColor="accent2"/>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insideH w:val="nil"/>
          <w:insideV w:val="single" w:sz="8" w:space="0" w:color="C0504D" w:themeColor="accent2"/>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shd w:val="clear" w:color="auto" w:fill="EFD3D2" w:themeFill="accent2" w:themeFillTint="3F"/>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shd w:val="clear" w:color="auto" w:fill="EFD3D2" w:themeFill="accent2" w:themeFillTint="3F"/>
      </w:tcPr>
    </w:tblStylePr>
    <w:tblStylePr w:type="band2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tcPr>
    </w:tblStylePr>
  </w:style>
  <w:style w:type="table" w:styleId="LightGrid-Accent3">
    <w:name w:val="Light Grid Accent 3"/>
    <w:basedOn w:val="TableNormal"/>
    <w:uiPriority w:val="62"/>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18" w:space="0" w:color="9BBB59" w:themeColor="accent3"/>
          <w:right w:val="single" w:sz="8" w:space="0" w:color="9BBB59" w:themeColor="accent3"/>
          <w:insideH w:val="nil"/>
          <w:insideV w:val="single" w:sz="8" w:space="0" w:color="9BBB59" w:themeColor="accent3"/>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insideH w:val="nil"/>
          <w:insideV w:val="single" w:sz="8" w:space="0" w:color="9BBB59" w:themeColor="accent3"/>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shd w:val="clear" w:color="auto" w:fill="E6EED5" w:themeFill="accent3" w:themeFillTint="3F"/>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shd w:val="clear" w:color="auto" w:fill="E6EED5" w:themeFill="accent3" w:themeFillTint="3F"/>
      </w:tcPr>
    </w:tblStylePr>
    <w:tblStylePr w:type="band2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tcPr>
    </w:tblStylePr>
  </w:style>
  <w:style w:type="table" w:styleId="LightGrid-Accent4">
    <w:name w:val="Light Grid Accent 4"/>
    <w:basedOn w:val="TableNormal"/>
    <w:uiPriority w:val="62"/>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18" w:space="0" w:color="8064A2" w:themeColor="accent4"/>
          <w:right w:val="single" w:sz="8" w:space="0" w:color="8064A2" w:themeColor="accent4"/>
          <w:insideH w:val="nil"/>
          <w:insideV w:val="single" w:sz="8" w:space="0" w:color="8064A2" w:themeColor="accent4"/>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insideH w:val="nil"/>
          <w:insideV w:val="single" w:sz="8" w:space="0" w:color="8064A2" w:themeColor="accent4"/>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shd w:val="clear" w:color="auto" w:fill="DFD8E8" w:themeFill="accent4" w:themeFillTint="3F"/>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shd w:val="clear" w:color="auto" w:fill="DFD8E8" w:themeFill="accent4" w:themeFillTint="3F"/>
      </w:tcPr>
    </w:tblStylePr>
    <w:tblStylePr w:type="band2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tcPr>
    </w:tblStylePr>
  </w:style>
  <w:style w:type="table" w:styleId="LightGrid-Accent5">
    <w:name w:val="Light Grid Accent 5"/>
    <w:basedOn w:val="TableNormal"/>
    <w:uiPriority w:val="62"/>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18" w:space="0" w:color="4BACC6" w:themeColor="accent5"/>
          <w:right w:val="single" w:sz="8" w:space="0" w:color="4BACC6" w:themeColor="accent5"/>
          <w:insideH w:val="nil"/>
          <w:insideV w:val="single" w:sz="8" w:space="0" w:color="4BACC6" w:themeColor="accent5"/>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insideH w:val="nil"/>
          <w:insideV w:val="single" w:sz="8" w:space="0" w:color="4BACC6" w:themeColor="accent5"/>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shd w:val="clear" w:color="auto" w:fill="D2EAF1" w:themeFill="accent5" w:themeFillTint="3F"/>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shd w:val="clear" w:color="auto" w:fill="D2EAF1" w:themeFill="accent5" w:themeFillTint="3F"/>
      </w:tcPr>
    </w:tblStylePr>
    <w:tblStylePr w:type="band2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tcPr>
    </w:tblStylePr>
  </w:style>
  <w:style w:type="table" w:styleId="LightGrid-Accent6">
    <w:name w:val="Light Grid Accent 6"/>
    <w:basedOn w:val="TableNormal"/>
    <w:uiPriority w:val="62"/>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18" w:space="0" w:color="F79646" w:themeColor="accent6"/>
          <w:right w:val="single" w:sz="8" w:space="0" w:color="F79646" w:themeColor="accent6"/>
          <w:insideH w:val="nil"/>
          <w:insideV w:val="single" w:sz="8" w:space="0" w:color="F79646" w:themeColor="accent6"/>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insideH w:val="nil"/>
          <w:insideV w:val="single" w:sz="8" w:space="0" w:color="F79646" w:themeColor="accent6"/>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shd w:val="clear" w:color="auto" w:fill="FDE4D0" w:themeFill="accent6" w:themeFillTint="3F"/>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shd w:val="clear" w:color="auto" w:fill="FDE4D0" w:themeFill="accent6" w:themeFillTint="3F"/>
      </w:tcPr>
    </w:tblStylePr>
    <w:tblStylePr w:type="band2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tcPr>
    </w:tblStylePr>
  </w:style>
  <w:style w:type="table" w:styleId="MediumShading1">
    <w:name w:val="Medium Shading 1"/>
    <w:basedOn w:val="TableNormal"/>
    <w:uiPriority w:val="63"/>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shd w:val="clear" w:color="auto" w:fill="000000" w:themeFill="text1"/>
      </w:tcPr>
    </w:tblStylePr>
    <w:tblStylePr w:type="lastRow">
      <w:pPr>
        <w:spacing w:before="0" w:after="0" w:line="240" w:lineRule="auto"/>
      </w:pPr>
      <w:rPr>
        <w:b/>
        <w:bCs/>
      </w:rPr>
      <w:tblPr/>
      <w:tcPr>
        <w:tcBorders>
          <w:top w:val="double" w:sz="6"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tcPr>
    </w:tblStylePr>
    <w:tblStylePr w:type="firstCol">
      <w:rPr>
        <w:b/>
        <w:bCs/>
      </w:rPr>
    </w:tblStylePr>
    <w:tblStylePr w:type="lastCol">
      <w:rPr>
        <w:b/>
        <w:bCs/>
      </w:rPr>
    </w:tblStylePr>
    <w:tblStylePr w:type="band1Vert">
      <w:tblPr/>
      <w:tcPr>
        <w:shd w:val="clear" w:color="auto" w:fill="C0C0C0" w:themeFill="text1" w:themeFillTint="3F"/>
      </w:tcPr>
    </w:tblStylePr>
    <w:tblStylePr w:type="band1Horz">
      <w:tblPr/>
      <w:tcPr>
        <w:tcBorders>
          <w:insideH w:val="nil"/>
          <w:insideV w:val="nil"/>
        </w:tcBorders>
        <w:shd w:val="clear" w:color="auto" w:fill="C0C0C0" w:themeFill="text1" w:themeFillTint="3F"/>
      </w:tcPr>
    </w:tblStylePr>
    <w:tblStylePr w:type="band2Horz">
      <w:tblPr/>
      <w:tcPr>
        <w:tcBorders>
          <w:insideH w:val="nil"/>
          <w:insideV w:val="nil"/>
        </w:tcBorders>
      </w:tcPr>
    </w:tblStylePr>
  </w:style>
  <w:style w:type="table" w:styleId="MediumShading1-Accent1">
    <w:name w:val="Medium Shading 1 Accent 1"/>
    <w:basedOn w:val="TableNormal"/>
    <w:uiPriority w:val="63"/>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shd w:val="clear" w:color="auto" w:fill="4F81BD" w:themeFill="accent1"/>
      </w:tcPr>
    </w:tblStylePr>
    <w:tblStylePr w:type="lastRow">
      <w:pPr>
        <w:spacing w:before="0" w:after="0" w:line="240" w:lineRule="auto"/>
      </w:pPr>
      <w:rPr>
        <w:b/>
        <w:bCs/>
      </w:rPr>
      <w:tblPr/>
      <w:tcPr>
        <w:tcBorders>
          <w:top w:val="double" w:sz="6"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tcPr>
    </w:tblStylePr>
    <w:tblStylePr w:type="firstCol">
      <w:rPr>
        <w:b/>
        <w:bCs/>
      </w:rPr>
    </w:tblStylePr>
    <w:tblStylePr w:type="lastCol">
      <w:rPr>
        <w:b/>
        <w:bCs/>
      </w:rPr>
    </w:tblStylePr>
    <w:tblStylePr w:type="band1Vert">
      <w:tblPr/>
      <w:tcPr>
        <w:shd w:val="clear" w:color="auto" w:fill="D3DFEE" w:themeFill="accent1" w:themeFillTint="3F"/>
      </w:tcPr>
    </w:tblStylePr>
    <w:tblStylePr w:type="band1Horz">
      <w:tblPr/>
      <w:tcPr>
        <w:tcBorders>
          <w:insideH w:val="nil"/>
          <w:insideV w:val="nil"/>
        </w:tcBorders>
        <w:shd w:val="clear" w:color="auto" w:fill="D3DFEE" w:themeFill="accent1" w:themeFillTint="3F"/>
      </w:tcPr>
    </w:tblStylePr>
    <w:tblStylePr w:type="band2Horz">
      <w:tblPr/>
      <w:tcPr>
        <w:tcBorders>
          <w:insideH w:val="nil"/>
          <w:insideV w:val="nil"/>
        </w:tcBorders>
      </w:tcPr>
    </w:tblStylePr>
  </w:style>
  <w:style w:type="table" w:styleId="MediumShading1-Accent2">
    <w:name w:val="Medium Shading 1 Accent 2"/>
    <w:basedOn w:val="TableNormal"/>
    <w:uiPriority w:val="63"/>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shd w:val="clear" w:color="auto" w:fill="C0504D" w:themeFill="accent2"/>
      </w:tcPr>
    </w:tblStylePr>
    <w:tblStylePr w:type="lastRow">
      <w:pPr>
        <w:spacing w:before="0" w:after="0" w:line="240" w:lineRule="auto"/>
      </w:pPr>
      <w:rPr>
        <w:b/>
        <w:bCs/>
      </w:rPr>
      <w:tblPr/>
      <w:tcPr>
        <w:tcBorders>
          <w:top w:val="double" w:sz="6"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tcPr>
    </w:tblStylePr>
    <w:tblStylePr w:type="firstCol">
      <w:rPr>
        <w:b/>
        <w:bCs/>
      </w:rPr>
    </w:tblStylePr>
    <w:tblStylePr w:type="lastCol">
      <w:rPr>
        <w:b/>
        <w:bCs/>
      </w:rPr>
    </w:tblStylePr>
    <w:tblStylePr w:type="band1Vert">
      <w:tblPr/>
      <w:tcPr>
        <w:shd w:val="clear" w:color="auto" w:fill="EFD3D2" w:themeFill="accent2" w:themeFillTint="3F"/>
      </w:tcPr>
    </w:tblStylePr>
    <w:tblStylePr w:type="band1Horz">
      <w:tblPr/>
      <w:tcPr>
        <w:tcBorders>
          <w:insideH w:val="nil"/>
          <w:insideV w:val="nil"/>
        </w:tcBorders>
        <w:shd w:val="clear" w:color="auto" w:fill="EFD3D2" w:themeFill="accent2" w:themeFillTint="3F"/>
      </w:tcPr>
    </w:tblStylePr>
    <w:tblStylePr w:type="band2Horz">
      <w:tblPr/>
      <w:tcPr>
        <w:tcBorders>
          <w:insideH w:val="nil"/>
          <w:insideV w:val="nil"/>
        </w:tcBorders>
      </w:tcPr>
    </w:tblStylePr>
  </w:style>
  <w:style w:type="table" w:styleId="MediumShading1-Accent3">
    <w:name w:val="Medium Shading 1 Accent 3"/>
    <w:basedOn w:val="TableNormal"/>
    <w:uiPriority w:val="63"/>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shd w:val="clear" w:color="auto" w:fill="9BBB59" w:themeFill="accent3"/>
      </w:tcPr>
    </w:tblStylePr>
    <w:tblStylePr w:type="lastRow">
      <w:pPr>
        <w:spacing w:before="0" w:after="0" w:line="240" w:lineRule="auto"/>
      </w:pPr>
      <w:rPr>
        <w:b/>
        <w:bCs/>
      </w:rPr>
      <w:tblPr/>
      <w:tcPr>
        <w:tcBorders>
          <w:top w:val="double" w:sz="6"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tcPr>
    </w:tblStylePr>
    <w:tblStylePr w:type="firstCol">
      <w:rPr>
        <w:b/>
        <w:bCs/>
      </w:rPr>
    </w:tblStylePr>
    <w:tblStylePr w:type="lastCol">
      <w:rPr>
        <w:b/>
        <w:bCs/>
      </w:rPr>
    </w:tblStylePr>
    <w:tblStylePr w:type="band1Vert">
      <w:tblPr/>
      <w:tcPr>
        <w:shd w:val="clear" w:color="auto" w:fill="E6EED5" w:themeFill="accent3" w:themeFillTint="3F"/>
      </w:tcPr>
    </w:tblStylePr>
    <w:tblStylePr w:type="band1Horz">
      <w:tblPr/>
      <w:tcPr>
        <w:tcBorders>
          <w:insideH w:val="nil"/>
          <w:insideV w:val="nil"/>
        </w:tcBorders>
        <w:shd w:val="clear" w:color="auto" w:fill="E6EED5" w:themeFill="accent3" w:themeFillTint="3F"/>
      </w:tcPr>
    </w:tblStylePr>
    <w:tblStylePr w:type="band2Horz">
      <w:tblPr/>
      <w:tcPr>
        <w:tcBorders>
          <w:insideH w:val="nil"/>
          <w:insideV w:val="nil"/>
        </w:tcBorders>
      </w:tcPr>
    </w:tblStylePr>
  </w:style>
  <w:style w:type="table" w:styleId="MediumShading1-Accent4">
    <w:name w:val="Medium Shading 1 Accent 4"/>
    <w:basedOn w:val="TableNormal"/>
    <w:uiPriority w:val="63"/>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shd w:val="clear" w:color="auto" w:fill="8064A2" w:themeFill="accent4"/>
      </w:tcPr>
    </w:tblStylePr>
    <w:tblStylePr w:type="lastRow">
      <w:pPr>
        <w:spacing w:before="0" w:after="0" w:line="240" w:lineRule="auto"/>
      </w:pPr>
      <w:rPr>
        <w:b/>
        <w:bCs/>
      </w:rPr>
      <w:tblPr/>
      <w:tcPr>
        <w:tcBorders>
          <w:top w:val="double" w:sz="6"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tcPr>
    </w:tblStylePr>
    <w:tblStylePr w:type="firstCol">
      <w:rPr>
        <w:b/>
        <w:bCs/>
      </w:rPr>
    </w:tblStylePr>
    <w:tblStylePr w:type="lastCol">
      <w:rPr>
        <w:b/>
        <w:bCs/>
      </w:rPr>
    </w:tblStylePr>
    <w:tblStylePr w:type="band1Vert">
      <w:tblPr/>
      <w:tcPr>
        <w:shd w:val="clear" w:color="auto" w:fill="DFD8E8" w:themeFill="accent4" w:themeFillTint="3F"/>
      </w:tcPr>
    </w:tblStylePr>
    <w:tblStylePr w:type="band1Horz">
      <w:tblPr/>
      <w:tcPr>
        <w:tcBorders>
          <w:insideH w:val="nil"/>
          <w:insideV w:val="nil"/>
        </w:tcBorders>
        <w:shd w:val="clear" w:color="auto" w:fill="DFD8E8" w:themeFill="accent4" w:themeFillTint="3F"/>
      </w:tcPr>
    </w:tblStylePr>
    <w:tblStylePr w:type="band2Horz">
      <w:tblPr/>
      <w:tcPr>
        <w:tcBorders>
          <w:insideH w:val="nil"/>
          <w:insideV w:val="nil"/>
        </w:tcBorders>
      </w:tcPr>
    </w:tblStylePr>
  </w:style>
  <w:style w:type="table" w:styleId="MediumShading1-Accent5">
    <w:name w:val="Medium Shading 1 Accent 5"/>
    <w:basedOn w:val="TableNormal"/>
    <w:uiPriority w:val="63"/>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shd w:val="clear" w:color="auto" w:fill="4BACC6" w:themeFill="accent5"/>
      </w:tcPr>
    </w:tblStylePr>
    <w:tblStylePr w:type="lastRow">
      <w:pPr>
        <w:spacing w:before="0" w:after="0" w:line="240" w:lineRule="auto"/>
      </w:pPr>
      <w:rPr>
        <w:b/>
        <w:bCs/>
      </w:rPr>
      <w:tblPr/>
      <w:tcPr>
        <w:tcBorders>
          <w:top w:val="double" w:sz="6"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tcPr>
    </w:tblStylePr>
    <w:tblStylePr w:type="firstCol">
      <w:rPr>
        <w:b/>
        <w:bCs/>
      </w:rPr>
    </w:tblStylePr>
    <w:tblStylePr w:type="lastCol">
      <w:rPr>
        <w:b/>
        <w:bCs/>
      </w:rPr>
    </w:tblStylePr>
    <w:tblStylePr w:type="band1Vert">
      <w:tblPr/>
      <w:tcPr>
        <w:shd w:val="clear" w:color="auto" w:fill="D2EAF1" w:themeFill="accent5" w:themeFillTint="3F"/>
      </w:tcPr>
    </w:tblStylePr>
    <w:tblStylePr w:type="band1Horz">
      <w:tblPr/>
      <w:tcPr>
        <w:tcBorders>
          <w:insideH w:val="nil"/>
          <w:insideV w:val="nil"/>
        </w:tcBorders>
        <w:shd w:val="clear" w:color="auto" w:fill="D2EAF1" w:themeFill="accent5" w:themeFillTint="3F"/>
      </w:tcPr>
    </w:tblStylePr>
    <w:tblStylePr w:type="band2Horz">
      <w:tblPr/>
      <w:tcPr>
        <w:tcBorders>
          <w:insideH w:val="nil"/>
          <w:insideV w:val="nil"/>
        </w:tcBorders>
      </w:tcPr>
    </w:tblStylePr>
  </w:style>
  <w:style w:type="table" w:styleId="MediumShading1-Accent6">
    <w:name w:val="Medium Shading 1 Accent 6"/>
    <w:basedOn w:val="TableNormal"/>
    <w:uiPriority w:val="63"/>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shd w:val="clear" w:color="auto" w:fill="F79646" w:themeFill="accent6"/>
      </w:tcPr>
    </w:tblStylePr>
    <w:tblStylePr w:type="lastRow">
      <w:pPr>
        <w:spacing w:before="0" w:after="0" w:line="240" w:lineRule="auto"/>
      </w:pPr>
      <w:rPr>
        <w:b/>
        <w:bCs/>
      </w:rPr>
      <w:tblPr/>
      <w:tcPr>
        <w:tcBorders>
          <w:top w:val="double" w:sz="6"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tcPr>
    </w:tblStylePr>
    <w:tblStylePr w:type="firstCol">
      <w:rPr>
        <w:b/>
        <w:bCs/>
      </w:rPr>
    </w:tblStylePr>
    <w:tblStylePr w:type="lastCol">
      <w:rPr>
        <w:b/>
        <w:bCs/>
      </w:rPr>
    </w:tblStylePr>
    <w:tblStylePr w:type="band1Vert">
      <w:tblPr/>
      <w:tcPr>
        <w:shd w:val="clear" w:color="auto" w:fill="FDE4D0" w:themeFill="accent6" w:themeFillTint="3F"/>
      </w:tcPr>
    </w:tblStylePr>
    <w:tblStylePr w:type="band1Horz">
      <w:tblPr/>
      <w:tcPr>
        <w:tcBorders>
          <w:insideH w:val="nil"/>
          <w:insideV w:val="nil"/>
        </w:tcBorders>
        <w:shd w:val="clear" w:color="auto" w:fill="FDE4D0" w:themeFill="accent6" w:themeFillTint="3F"/>
      </w:tcPr>
    </w:tblStylePr>
    <w:tblStylePr w:type="band2Horz">
      <w:tblPr/>
      <w:tcPr>
        <w:tcBorders>
          <w:insideH w:val="nil"/>
          <w:insideV w:val="nil"/>
        </w:tcBorders>
      </w:tcPr>
    </w:tblStylePr>
  </w:style>
  <w:style w:type="table" w:styleId="MediumShading2">
    <w:name w:val="Medium Shading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000000" w:themeFill="tex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000000" w:themeFill="text1"/>
      </w:tcPr>
    </w:tblStylePr>
    <w:tblStylePr w:type="lastCol">
      <w:rPr>
        <w:b/>
        <w:bCs/>
        <w:color w:val="FFFFFF" w:themeColor="background1"/>
      </w:rPr>
      <w:tblPr/>
      <w:tcPr>
        <w:tcBorders>
          <w:left w:val="nil"/>
          <w:right w:val="nil"/>
          <w:insideH w:val="nil"/>
          <w:insideV w:val="nil"/>
        </w:tcBorders>
        <w:shd w:val="clear" w:color="auto" w:fill="000000" w:themeFill="tex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1">
    <w:name w:val="Medium Shading 2 Accent 1"/>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F81BD" w:themeFill="accen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F81BD" w:themeFill="accent1"/>
      </w:tcPr>
    </w:tblStylePr>
    <w:tblStylePr w:type="lastCol">
      <w:rPr>
        <w:b/>
        <w:bCs/>
        <w:color w:val="FFFFFF" w:themeColor="background1"/>
      </w:rPr>
      <w:tblPr/>
      <w:tcPr>
        <w:tcBorders>
          <w:left w:val="nil"/>
          <w:right w:val="nil"/>
          <w:insideH w:val="nil"/>
          <w:insideV w:val="nil"/>
        </w:tcBorders>
        <w:shd w:val="clear" w:color="auto" w:fill="4F81BD" w:themeFill="accen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2">
    <w:name w:val="Medium Shading 2 Accent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C0504D" w:themeFill="accent2"/>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C0504D" w:themeFill="accent2"/>
      </w:tcPr>
    </w:tblStylePr>
    <w:tblStylePr w:type="lastCol">
      <w:rPr>
        <w:b/>
        <w:bCs/>
        <w:color w:val="FFFFFF" w:themeColor="background1"/>
      </w:rPr>
      <w:tblPr/>
      <w:tcPr>
        <w:tcBorders>
          <w:left w:val="nil"/>
          <w:right w:val="nil"/>
          <w:insideH w:val="nil"/>
          <w:insideV w:val="nil"/>
        </w:tcBorders>
        <w:shd w:val="clear" w:color="auto" w:fill="C0504D" w:themeFill="accent2"/>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3">
    <w:name w:val="Medium Shading 2 Accent 3"/>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9BBB59" w:themeFill="accent3"/>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9BBB59" w:themeFill="accent3"/>
      </w:tcPr>
    </w:tblStylePr>
    <w:tblStylePr w:type="lastCol">
      <w:rPr>
        <w:b/>
        <w:bCs/>
        <w:color w:val="FFFFFF" w:themeColor="background1"/>
      </w:rPr>
      <w:tblPr/>
      <w:tcPr>
        <w:tcBorders>
          <w:left w:val="nil"/>
          <w:right w:val="nil"/>
          <w:insideH w:val="nil"/>
          <w:insideV w:val="nil"/>
        </w:tcBorders>
        <w:shd w:val="clear" w:color="auto" w:fill="9BBB59" w:themeFill="accent3"/>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4">
    <w:name w:val="Medium Shading 2 Accent 4"/>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8064A2" w:themeFill="accent4"/>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8064A2" w:themeFill="accent4"/>
      </w:tcPr>
    </w:tblStylePr>
    <w:tblStylePr w:type="lastCol">
      <w:rPr>
        <w:b/>
        <w:bCs/>
        <w:color w:val="FFFFFF" w:themeColor="background1"/>
      </w:rPr>
      <w:tblPr/>
      <w:tcPr>
        <w:tcBorders>
          <w:left w:val="nil"/>
          <w:right w:val="nil"/>
          <w:insideH w:val="nil"/>
          <w:insideV w:val="nil"/>
        </w:tcBorders>
        <w:shd w:val="clear" w:color="auto" w:fill="8064A2" w:themeFill="accent4"/>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5">
    <w:name w:val="Medium Shading 2 Accent 5"/>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BACC6" w:themeFill="accent5"/>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BACC6" w:themeFill="accent5"/>
      </w:tcPr>
    </w:tblStylePr>
    <w:tblStylePr w:type="lastCol">
      <w:rPr>
        <w:b/>
        <w:bCs/>
        <w:color w:val="FFFFFF" w:themeColor="background1"/>
      </w:rPr>
      <w:tblPr/>
      <w:tcPr>
        <w:tcBorders>
          <w:left w:val="nil"/>
          <w:right w:val="nil"/>
          <w:insideH w:val="nil"/>
          <w:insideV w:val="nil"/>
        </w:tcBorders>
        <w:shd w:val="clear" w:color="auto" w:fill="4BACC6" w:themeFill="accent5"/>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6">
    <w:name w:val="Medium Shading 2 Accent 6"/>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F79646" w:themeFill="accent6"/>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F79646" w:themeFill="accent6"/>
      </w:tcPr>
    </w:tblStylePr>
    <w:tblStylePr w:type="lastCol">
      <w:rPr>
        <w:b/>
        <w:bCs/>
        <w:color w:val="FFFFFF" w:themeColor="background1"/>
      </w:rPr>
      <w:tblPr/>
      <w:tcPr>
        <w:tcBorders>
          <w:left w:val="nil"/>
          <w:right w:val="nil"/>
          <w:insideH w:val="nil"/>
          <w:insideV w:val="nil"/>
        </w:tcBorders>
        <w:shd w:val="clear" w:color="auto" w:fill="F79646" w:themeFill="accent6"/>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List1">
    <w:name w:val="Medium Lis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000000" w:themeColor="text1"/>
        </w:tcBorders>
      </w:tcPr>
    </w:tblStylePr>
    <w:tblStylePr w:type="lastRow">
      <w:rPr>
        <w:b/>
        <w:bCs/>
        <w:color w:val="1F497D" w:themeColor="text2"/>
      </w:rPr>
      <w:tblPr/>
      <w:tcPr>
        <w:tcBorders>
          <w:top w:val="single" w:sz="8" w:space="0" w:color="000000" w:themeColor="text1"/>
          <w:bottom w:val="single" w:sz="8" w:space="0" w:color="000000" w:themeColor="text1"/>
        </w:tcBorders>
      </w:tcPr>
    </w:tblStylePr>
    <w:tblStylePr w:type="firstCol">
      <w:rPr>
        <w:b/>
        <w:bCs/>
      </w:rPr>
    </w:tblStylePr>
    <w:tblStylePr w:type="lastCol">
      <w:rPr>
        <w:b/>
        <w:bCs/>
      </w:rPr>
      <w:tblPr/>
      <w:tcPr>
        <w:tcBorders>
          <w:top w:val="single" w:sz="8" w:space="0" w:color="000000" w:themeColor="text1"/>
          <w:bottom w:val="single" w:sz="8" w:space="0" w:color="000000" w:themeColor="text1"/>
        </w:tcBorders>
      </w:tcPr>
    </w:tblStylePr>
    <w:tblStylePr w:type="band1Vert">
      <w:tblPr/>
      <w:tcPr>
        <w:shd w:val="clear" w:color="auto" w:fill="C0C0C0" w:themeFill="text1" w:themeFillTint="3F"/>
      </w:tcPr>
    </w:tblStylePr>
    <w:tblStylePr w:type="band1Horz">
      <w:tblPr/>
      <w:tcPr>
        <w:shd w:val="clear" w:color="auto" w:fill="C0C0C0" w:themeFill="text1" w:themeFillTint="3F"/>
      </w:tcPr>
    </w:tblStylePr>
  </w:style>
  <w:style w:type="table" w:styleId="MediumList1-Accent1">
    <w:name w:val="Medium List 1 Accen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F81BD" w:themeColor="accent1"/>
        </w:tcBorders>
      </w:tcPr>
    </w:tblStylePr>
    <w:tblStylePr w:type="lastRow">
      <w:rPr>
        <w:b/>
        <w:bCs/>
        <w:color w:val="1F497D" w:themeColor="text2"/>
      </w:rPr>
      <w:tblPr/>
      <w:tcPr>
        <w:tcBorders>
          <w:top w:val="single" w:sz="8" w:space="0" w:color="4F81BD" w:themeColor="accent1"/>
          <w:bottom w:val="single" w:sz="8" w:space="0" w:color="4F81BD" w:themeColor="accent1"/>
        </w:tcBorders>
      </w:tcPr>
    </w:tblStylePr>
    <w:tblStylePr w:type="firstCol">
      <w:rPr>
        <w:b/>
        <w:bCs/>
      </w:rPr>
    </w:tblStylePr>
    <w:tblStylePr w:type="lastCol">
      <w:rPr>
        <w:b/>
        <w:bCs/>
      </w:rPr>
      <w:tblPr/>
      <w:tcPr>
        <w:tcBorders>
          <w:top w:val="single" w:sz="8" w:space="0" w:color="4F81BD" w:themeColor="accent1"/>
          <w:bottom w:val="single" w:sz="8" w:space="0" w:color="4F81BD" w:themeColor="accent1"/>
        </w:tcBorders>
      </w:tcPr>
    </w:tblStylePr>
    <w:tblStylePr w:type="band1Vert">
      <w:tblPr/>
      <w:tcPr>
        <w:shd w:val="clear" w:color="auto" w:fill="D3DFEE" w:themeFill="accent1" w:themeFillTint="3F"/>
      </w:tcPr>
    </w:tblStylePr>
    <w:tblStylePr w:type="band1Horz">
      <w:tblPr/>
      <w:tcPr>
        <w:shd w:val="clear" w:color="auto" w:fill="D3DFEE" w:themeFill="accent1" w:themeFillTint="3F"/>
      </w:tcPr>
    </w:tblStylePr>
  </w:style>
  <w:style w:type="table" w:styleId="MediumList1-Accent2">
    <w:name w:val="Medium List 1 Accent 2"/>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C0504D" w:themeColor="accent2"/>
        </w:tcBorders>
      </w:tcPr>
    </w:tblStylePr>
    <w:tblStylePr w:type="lastRow">
      <w:rPr>
        <w:b/>
        <w:bCs/>
        <w:color w:val="1F497D" w:themeColor="text2"/>
      </w:rPr>
      <w:tblPr/>
      <w:tcPr>
        <w:tcBorders>
          <w:top w:val="single" w:sz="8" w:space="0" w:color="C0504D" w:themeColor="accent2"/>
          <w:bottom w:val="single" w:sz="8" w:space="0" w:color="C0504D" w:themeColor="accent2"/>
        </w:tcBorders>
      </w:tcPr>
    </w:tblStylePr>
    <w:tblStylePr w:type="firstCol">
      <w:rPr>
        <w:b/>
        <w:bCs/>
      </w:rPr>
    </w:tblStylePr>
    <w:tblStylePr w:type="lastCol">
      <w:rPr>
        <w:b/>
        <w:bCs/>
      </w:rPr>
      <w:tblPr/>
      <w:tcPr>
        <w:tcBorders>
          <w:top w:val="single" w:sz="8" w:space="0" w:color="C0504D" w:themeColor="accent2"/>
          <w:bottom w:val="single" w:sz="8" w:space="0" w:color="C0504D" w:themeColor="accent2"/>
        </w:tcBorders>
      </w:tcPr>
    </w:tblStylePr>
    <w:tblStylePr w:type="band1Vert">
      <w:tblPr/>
      <w:tcPr>
        <w:shd w:val="clear" w:color="auto" w:fill="EFD3D2" w:themeFill="accent2" w:themeFillTint="3F"/>
      </w:tcPr>
    </w:tblStylePr>
    <w:tblStylePr w:type="band1Horz">
      <w:tblPr/>
      <w:tcPr>
        <w:shd w:val="clear" w:color="auto" w:fill="EFD3D2" w:themeFill="accent2" w:themeFillTint="3F"/>
      </w:tcPr>
    </w:tblStylePr>
  </w:style>
  <w:style w:type="table" w:styleId="MediumList1-Accent3">
    <w:name w:val="Medium List 1 Accent 3"/>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9BBB59" w:themeColor="accent3"/>
        </w:tcBorders>
      </w:tcPr>
    </w:tblStylePr>
    <w:tblStylePr w:type="lastRow">
      <w:rPr>
        <w:b/>
        <w:bCs/>
        <w:color w:val="1F497D" w:themeColor="text2"/>
      </w:rPr>
      <w:tblPr/>
      <w:tcPr>
        <w:tcBorders>
          <w:top w:val="single" w:sz="8" w:space="0" w:color="9BBB59" w:themeColor="accent3"/>
          <w:bottom w:val="single" w:sz="8" w:space="0" w:color="9BBB59" w:themeColor="accent3"/>
        </w:tcBorders>
      </w:tcPr>
    </w:tblStylePr>
    <w:tblStylePr w:type="firstCol">
      <w:rPr>
        <w:b/>
        <w:bCs/>
      </w:rPr>
    </w:tblStylePr>
    <w:tblStylePr w:type="lastCol">
      <w:rPr>
        <w:b/>
        <w:bCs/>
      </w:rPr>
      <w:tblPr/>
      <w:tcPr>
        <w:tcBorders>
          <w:top w:val="single" w:sz="8" w:space="0" w:color="9BBB59" w:themeColor="accent3"/>
          <w:bottom w:val="single" w:sz="8" w:space="0" w:color="9BBB59" w:themeColor="accent3"/>
        </w:tcBorders>
      </w:tcPr>
    </w:tblStylePr>
    <w:tblStylePr w:type="band1Vert">
      <w:tblPr/>
      <w:tcPr>
        <w:shd w:val="clear" w:color="auto" w:fill="E6EED5" w:themeFill="accent3" w:themeFillTint="3F"/>
      </w:tcPr>
    </w:tblStylePr>
    <w:tblStylePr w:type="band1Horz">
      <w:tblPr/>
      <w:tcPr>
        <w:shd w:val="clear" w:color="auto" w:fill="E6EED5" w:themeFill="accent3" w:themeFillTint="3F"/>
      </w:tcPr>
    </w:tblStylePr>
  </w:style>
  <w:style w:type="table" w:styleId="MediumList1-Accent4">
    <w:name w:val="Medium List 1 Accent 4"/>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8064A2" w:themeColor="accent4"/>
        </w:tcBorders>
      </w:tcPr>
    </w:tblStylePr>
    <w:tblStylePr w:type="lastRow">
      <w:rPr>
        <w:b/>
        <w:bCs/>
        <w:color w:val="1F497D" w:themeColor="text2"/>
      </w:rPr>
      <w:tblPr/>
      <w:tcPr>
        <w:tcBorders>
          <w:top w:val="single" w:sz="8" w:space="0" w:color="8064A2" w:themeColor="accent4"/>
          <w:bottom w:val="single" w:sz="8" w:space="0" w:color="8064A2" w:themeColor="accent4"/>
        </w:tcBorders>
      </w:tcPr>
    </w:tblStylePr>
    <w:tblStylePr w:type="firstCol">
      <w:rPr>
        <w:b/>
        <w:bCs/>
      </w:rPr>
    </w:tblStylePr>
    <w:tblStylePr w:type="lastCol">
      <w:rPr>
        <w:b/>
        <w:bCs/>
      </w:rPr>
      <w:tblPr/>
      <w:tcPr>
        <w:tcBorders>
          <w:top w:val="single" w:sz="8" w:space="0" w:color="8064A2" w:themeColor="accent4"/>
          <w:bottom w:val="single" w:sz="8" w:space="0" w:color="8064A2" w:themeColor="accent4"/>
        </w:tcBorders>
      </w:tcPr>
    </w:tblStylePr>
    <w:tblStylePr w:type="band1Vert">
      <w:tblPr/>
      <w:tcPr>
        <w:shd w:val="clear" w:color="auto" w:fill="DFD8E8" w:themeFill="accent4" w:themeFillTint="3F"/>
      </w:tcPr>
    </w:tblStylePr>
    <w:tblStylePr w:type="band1Horz">
      <w:tblPr/>
      <w:tcPr>
        <w:shd w:val="clear" w:color="auto" w:fill="DFD8E8" w:themeFill="accent4" w:themeFillTint="3F"/>
      </w:tcPr>
    </w:tblStylePr>
  </w:style>
  <w:style w:type="table" w:styleId="MediumList1-Accent5">
    <w:name w:val="Medium List 1 Accent 5"/>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BACC6" w:themeColor="accent5"/>
        </w:tcBorders>
      </w:tcPr>
    </w:tblStylePr>
    <w:tblStylePr w:type="lastRow">
      <w:rPr>
        <w:b/>
        <w:bCs/>
        <w:color w:val="1F497D" w:themeColor="text2"/>
      </w:rPr>
      <w:tblPr/>
      <w:tcPr>
        <w:tcBorders>
          <w:top w:val="single" w:sz="8" w:space="0" w:color="4BACC6" w:themeColor="accent5"/>
          <w:bottom w:val="single" w:sz="8" w:space="0" w:color="4BACC6" w:themeColor="accent5"/>
        </w:tcBorders>
      </w:tcPr>
    </w:tblStylePr>
    <w:tblStylePr w:type="firstCol">
      <w:rPr>
        <w:b/>
        <w:bCs/>
      </w:rPr>
    </w:tblStylePr>
    <w:tblStylePr w:type="lastCol">
      <w:rPr>
        <w:b/>
        <w:bCs/>
      </w:rPr>
      <w:tblPr/>
      <w:tcPr>
        <w:tcBorders>
          <w:top w:val="single" w:sz="8" w:space="0" w:color="4BACC6" w:themeColor="accent5"/>
          <w:bottom w:val="single" w:sz="8" w:space="0" w:color="4BACC6" w:themeColor="accent5"/>
        </w:tcBorders>
      </w:tcPr>
    </w:tblStylePr>
    <w:tblStylePr w:type="band1Vert">
      <w:tblPr/>
      <w:tcPr>
        <w:shd w:val="clear" w:color="auto" w:fill="D2EAF1" w:themeFill="accent5" w:themeFillTint="3F"/>
      </w:tcPr>
    </w:tblStylePr>
    <w:tblStylePr w:type="band1Horz">
      <w:tblPr/>
      <w:tcPr>
        <w:shd w:val="clear" w:color="auto" w:fill="D2EAF1" w:themeFill="accent5" w:themeFillTint="3F"/>
      </w:tcPr>
    </w:tblStylePr>
  </w:style>
  <w:style w:type="table" w:styleId="MediumList1-Accent6">
    <w:name w:val="Medium List 1 Accent 6"/>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F79646" w:themeColor="accent6"/>
        </w:tcBorders>
      </w:tcPr>
    </w:tblStylePr>
    <w:tblStylePr w:type="lastRow">
      <w:rPr>
        <w:b/>
        <w:bCs/>
        <w:color w:val="1F497D" w:themeColor="text2"/>
      </w:rPr>
      <w:tblPr/>
      <w:tcPr>
        <w:tcBorders>
          <w:top w:val="single" w:sz="8" w:space="0" w:color="F79646" w:themeColor="accent6"/>
          <w:bottom w:val="single" w:sz="8" w:space="0" w:color="F79646" w:themeColor="accent6"/>
        </w:tcBorders>
      </w:tcPr>
    </w:tblStylePr>
    <w:tblStylePr w:type="firstCol">
      <w:rPr>
        <w:b/>
        <w:bCs/>
      </w:rPr>
    </w:tblStylePr>
    <w:tblStylePr w:type="lastCol">
      <w:rPr>
        <w:b/>
        <w:bCs/>
      </w:rPr>
      <w:tblPr/>
      <w:tcPr>
        <w:tcBorders>
          <w:top w:val="single" w:sz="8" w:space="0" w:color="F79646" w:themeColor="accent6"/>
          <w:bottom w:val="single" w:sz="8" w:space="0" w:color="F79646" w:themeColor="accent6"/>
        </w:tcBorders>
      </w:tcPr>
    </w:tblStylePr>
    <w:tblStylePr w:type="band1Vert">
      <w:tblPr/>
      <w:tcPr>
        <w:shd w:val="clear" w:color="auto" w:fill="FDE4D0" w:themeFill="accent6" w:themeFillTint="3F"/>
      </w:tcPr>
    </w:tblStylePr>
    <w:tblStylePr w:type="band1Horz">
      <w:tblPr/>
      <w:tcPr>
        <w:shd w:val="clear" w:color="auto" w:fill="FDE4D0" w:themeFill="accent6" w:themeFillTint="3F"/>
      </w:tcPr>
    </w:tblStylePr>
  </w:style>
  <w:style w:type="table" w:styleId="MediumList2">
    <w:name w:val="Medium Lis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rPr>
        <w:sz w:val="24"/>
        <w:szCs w:val="24"/>
      </w:rPr>
      <w:tblPr/>
      <w:tcPr>
        <w:tcBorders>
          <w:top w:val="nil"/>
          <w:left w:val="nil"/>
          <w:bottom w:val="single" w:sz="24" w:space="0" w:color="000000" w:themeColor="text1"/>
          <w:right w:val="nil"/>
          <w:insideH w:val="nil"/>
          <w:insideV w:val="nil"/>
        </w:tcBorders>
        <w:shd w:val="clear" w:color="auto" w:fill="FFFFFF" w:themeFill="background1"/>
      </w:tcPr>
    </w:tblStylePr>
    <w:tblStylePr w:type="lastRow">
      <w:tblPr/>
      <w:tcPr>
        <w:tcBorders>
          <w:top w:val="single" w:sz="8" w:space="0" w:color="000000" w:themeColor="tex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000000" w:themeColor="text1"/>
          <w:insideH w:val="nil"/>
          <w:insideV w:val="nil"/>
        </w:tcBorders>
        <w:shd w:val="clear" w:color="auto" w:fill="FFFFFF" w:themeFill="background1"/>
      </w:tcPr>
    </w:tblStylePr>
    <w:tblStylePr w:type="lastCol">
      <w:tblPr/>
      <w:tcPr>
        <w:tcBorders>
          <w:top w:val="nil"/>
          <w:left w:val="single" w:sz="8" w:space="0" w:color="000000" w:themeColor="tex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top w:val="nil"/>
          <w:bottom w:val="nil"/>
          <w:insideH w:val="nil"/>
          <w:insideV w:val="nil"/>
        </w:tcBorders>
        <w:shd w:val="clear" w:color="auto" w:fill="C0C0C0" w:themeFill="tex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1">
    <w:name w:val="Medium List 2 Accent 1"/>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rPr>
        <w:sz w:val="24"/>
        <w:szCs w:val="24"/>
      </w:rPr>
      <w:tblPr/>
      <w:tcPr>
        <w:tcBorders>
          <w:top w:val="nil"/>
          <w:left w:val="nil"/>
          <w:bottom w:val="single" w:sz="24" w:space="0" w:color="4F81BD" w:themeColor="accent1"/>
          <w:right w:val="nil"/>
          <w:insideH w:val="nil"/>
          <w:insideV w:val="nil"/>
        </w:tcBorders>
        <w:shd w:val="clear" w:color="auto" w:fill="FFFFFF" w:themeFill="background1"/>
      </w:tcPr>
    </w:tblStylePr>
    <w:tblStylePr w:type="lastRow">
      <w:tblPr/>
      <w:tcPr>
        <w:tcBorders>
          <w:top w:val="single" w:sz="8" w:space="0" w:color="4F81BD" w:themeColor="accen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F81BD" w:themeColor="accent1"/>
          <w:insideH w:val="nil"/>
          <w:insideV w:val="nil"/>
        </w:tcBorders>
        <w:shd w:val="clear" w:color="auto" w:fill="FFFFFF" w:themeFill="background1"/>
      </w:tcPr>
    </w:tblStylePr>
    <w:tblStylePr w:type="lastCol">
      <w:tblPr/>
      <w:tcPr>
        <w:tcBorders>
          <w:top w:val="nil"/>
          <w:left w:val="single" w:sz="8" w:space="0" w:color="4F81BD" w:themeColor="accen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top w:val="nil"/>
          <w:bottom w:val="nil"/>
          <w:insideH w:val="nil"/>
          <w:insideV w:val="nil"/>
        </w:tcBorders>
        <w:shd w:val="clear" w:color="auto" w:fill="D3DFEE" w:themeFill="accen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2">
    <w:name w:val="Medium List 2 Accen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rPr>
        <w:sz w:val="24"/>
        <w:szCs w:val="24"/>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tblPr/>
      <w:tcPr>
        <w:tcBorders>
          <w:top w:val="single" w:sz="8" w:space="0" w:color="C0504D" w:themeColor="accent2"/>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C0504D" w:themeColor="accent2"/>
          <w:insideH w:val="nil"/>
          <w:insideV w:val="nil"/>
        </w:tcBorders>
        <w:shd w:val="clear" w:color="auto" w:fill="FFFFFF" w:themeFill="background1"/>
      </w:tcPr>
    </w:tblStylePr>
    <w:tblStylePr w:type="lastCol">
      <w:tblPr/>
      <w:tcPr>
        <w:tcBorders>
          <w:top w:val="nil"/>
          <w:left w:val="single" w:sz="8" w:space="0" w:color="C0504D" w:themeColor="accent2"/>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top w:val="nil"/>
          <w:bottom w:val="nil"/>
          <w:insideH w:val="nil"/>
          <w:insideV w:val="nil"/>
        </w:tcBorders>
        <w:shd w:val="clear" w:color="auto" w:fill="EFD3D2" w:themeFill="accent2"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3">
    <w:name w:val="Medium List 2 Accent 3"/>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rPr>
        <w:sz w:val="24"/>
        <w:szCs w:val="24"/>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tblPr/>
      <w:tcPr>
        <w:tcBorders>
          <w:top w:val="single" w:sz="8" w:space="0" w:color="9BBB59" w:themeColor="accent3"/>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9BBB59" w:themeColor="accent3"/>
          <w:insideH w:val="nil"/>
          <w:insideV w:val="nil"/>
        </w:tcBorders>
        <w:shd w:val="clear" w:color="auto" w:fill="FFFFFF" w:themeFill="background1"/>
      </w:tcPr>
    </w:tblStylePr>
    <w:tblStylePr w:type="lastCol">
      <w:tblPr/>
      <w:tcPr>
        <w:tcBorders>
          <w:top w:val="nil"/>
          <w:left w:val="single" w:sz="8" w:space="0" w:color="9BBB59" w:themeColor="accent3"/>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top w:val="nil"/>
          <w:bottom w:val="nil"/>
          <w:insideH w:val="nil"/>
          <w:insideV w:val="nil"/>
        </w:tcBorders>
        <w:shd w:val="clear" w:color="auto" w:fill="E6EED5" w:themeFill="accent3"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4">
    <w:name w:val="Medium List 2 Accent 4"/>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rPr>
        <w:sz w:val="24"/>
        <w:szCs w:val="24"/>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tblPr/>
      <w:tcPr>
        <w:tcBorders>
          <w:top w:val="single" w:sz="8" w:space="0" w:color="8064A2" w:themeColor="accent4"/>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8064A2" w:themeColor="accent4"/>
          <w:insideH w:val="nil"/>
          <w:insideV w:val="nil"/>
        </w:tcBorders>
        <w:shd w:val="clear" w:color="auto" w:fill="FFFFFF" w:themeFill="background1"/>
      </w:tcPr>
    </w:tblStylePr>
    <w:tblStylePr w:type="lastCol">
      <w:tblPr/>
      <w:tcPr>
        <w:tcBorders>
          <w:top w:val="nil"/>
          <w:left w:val="single" w:sz="8" w:space="0" w:color="8064A2" w:themeColor="accent4"/>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top w:val="nil"/>
          <w:bottom w:val="nil"/>
          <w:insideH w:val="nil"/>
          <w:insideV w:val="nil"/>
        </w:tcBorders>
        <w:shd w:val="clear" w:color="auto" w:fill="DFD8E8" w:themeFill="accent4"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5">
    <w:name w:val="Medium List 2 Accent 5"/>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rPr>
        <w:sz w:val="24"/>
        <w:szCs w:val="24"/>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tblPr/>
      <w:tcPr>
        <w:tcBorders>
          <w:top w:val="single" w:sz="8" w:space="0" w:color="4BACC6" w:themeColor="accent5"/>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BACC6" w:themeColor="accent5"/>
          <w:insideH w:val="nil"/>
          <w:insideV w:val="nil"/>
        </w:tcBorders>
        <w:shd w:val="clear" w:color="auto" w:fill="FFFFFF" w:themeFill="background1"/>
      </w:tcPr>
    </w:tblStylePr>
    <w:tblStylePr w:type="lastCol">
      <w:tblPr/>
      <w:tcPr>
        <w:tcBorders>
          <w:top w:val="nil"/>
          <w:left w:val="single" w:sz="8" w:space="0" w:color="4BACC6" w:themeColor="accent5"/>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top w:val="nil"/>
          <w:bottom w:val="nil"/>
          <w:insideH w:val="nil"/>
          <w:insideV w:val="nil"/>
        </w:tcBorders>
        <w:shd w:val="clear" w:color="auto" w:fill="D2EAF1" w:themeFill="accent5"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6">
    <w:name w:val="Medium List 2 Accent 6"/>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rPr>
        <w:sz w:val="24"/>
        <w:szCs w:val="24"/>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tblPr/>
      <w:tcPr>
        <w:tcBorders>
          <w:top w:val="single" w:sz="8" w:space="0" w:color="F79646" w:themeColor="accent6"/>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F79646" w:themeColor="accent6"/>
          <w:insideH w:val="nil"/>
          <w:insideV w:val="nil"/>
        </w:tcBorders>
        <w:shd w:val="clear" w:color="auto" w:fill="FFFFFF" w:themeFill="background1"/>
      </w:tcPr>
    </w:tblStylePr>
    <w:tblStylePr w:type="lastCol">
      <w:tblPr/>
      <w:tcPr>
        <w:tcBorders>
          <w:top w:val="nil"/>
          <w:left w:val="single" w:sz="8" w:space="0" w:color="F79646" w:themeColor="accent6"/>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top w:val="nil"/>
          <w:bottom w:val="nil"/>
          <w:insideH w:val="nil"/>
          <w:insideV w:val="nil"/>
        </w:tcBorders>
        <w:shd w:val="clear" w:color="auto" w:fill="FDE4D0" w:themeFill="accent6"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Grid1">
    <w:name w:val="Medium Grid 1"/>
    <w:basedOn w:val="TableNormal"/>
    <w:uiPriority w:val="67"/>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insideV w:val="single" w:sz="8" w:space="0" w:color="404040" w:themeColor="text1" w:themeTint="BF"/>
      </w:tblBorders>
      <w:tblCellMar>
        <w:top w:w="0" w:type="dxa"/>
        <w:left w:w="108" w:type="dxa"/>
        <w:bottom w:w="0" w:type="dxa"/>
        <w:right w:w="108" w:type="dxa"/>
      </w:tblCellMar>
    </w:tblPr>
    <w:tcPr>
      <w:shd w:val="clear" w:color="auto" w:fill="C0C0C0" w:themeFill="text1" w:themeFillTint="3F"/>
    </w:tcPr>
    <w:tblStylePr w:type="firstRow">
      <w:rPr>
        <w:b/>
        <w:bCs/>
      </w:rPr>
    </w:tblStylePr>
    <w:tblStylePr w:type="lastRow">
      <w:rPr>
        <w:b/>
        <w:bCs/>
      </w:rPr>
      <w:tblPr/>
      <w:tcPr>
        <w:tcBorders>
          <w:top w:val="single" w:sz="18" w:space="0" w:color="404040" w:themeColor="text1" w:themeTint="BF"/>
        </w:tcBorders>
      </w:tcPr>
    </w:tblStylePr>
    <w:tblStylePr w:type="firstCol">
      <w:rPr>
        <w:b/>
        <w:bCs/>
      </w:rPr>
    </w:tblStylePr>
    <w:tblStylePr w:type="lastCol">
      <w:rPr>
        <w:b/>
        <w:bCs/>
      </w:r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MediumGrid1-Accent1">
    <w:name w:val="Medium Grid 1 Accent 1"/>
    <w:basedOn w:val="TableNormal"/>
    <w:uiPriority w:val="67"/>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insideV w:val="single" w:sz="8" w:space="0" w:color="7BA0CD" w:themeColor="accent1" w:themeTint="BF"/>
      </w:tblBorders>
      <w:tblCellMar>
        <w:top w:w="0" w:type="dxa"/>
        <w:left w:w="108" w:type="dxa"/>
        <w:bottom w:w="0" w:type="dxa"/>
        <w:right w:w="108" w:type="dxa"/>
      </w:tblCellMar>
    </w:tblPr>
    <w:tcPr>
      <w:shd w:val="clear" w:color="auto" w:fill="D3DFEE" w:themeFill="accent1" w:themeFillTint="3F"/>
    </w:tcPr>
    <w:tblStylePr w:type="firstRow">
      <w:rPr>
        <w:b/>
        <w:bCs/>
      </w:rPr>
    </w:tblStylePr>
    <w:tblStylePr w:type="lastRow">
      <w:rPr>
        <w:b/>
        <w:bCs/>
      </w:rPr>
      <w:tblPr/>
      <w:tcPr>
        <w:tcBorders>
          <w:top w:val="single" w:sz="18" w:space="0" w:color="7BA0CD" w:themeColor="accent1" w:themeTint="BF"/>
        </w:tcBorders>
      </w:tcPr>
    </w:tblStylePr>
    <w:tblStylePr w:type="firstCol">
      <w:rPr>
        <w:b/>
        <w:bCs/>
      </w:rPr>
    </w:tblStylePr>
    <w:tblStylePr w:type="lastCol">
      <w:rPr>
        <w:b/>
        <w:bCs/>
      </w:r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MediumGrid1-Accent2">
    <w:name w:val="Medium Grid 1 Accent 2"/>
    <w:basedOn w:val="TableNormal"/>
    <w:uiPriority w:val="67"/>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insideV w:val="single" w:sz="8" w:space="0" w:color="CF7B79" w:themeColor="accent2" w:themeTint="BF"/>
      </w:tblBorders>
      <w:tblCellMar>
        <w:top w:w="0" w:type="dxa"/>
        <w:left w:w="108" w:type="dxa"/>
        <w:bottom w:w="0" w:type="dxa"/>
        <w:right w:w="108" w:type="dxa"/>
      </w:tblCellMar>
    </w:tblPr>
    <w:tcPr>
      <w:shd w:val="clear" w:color="auto" w:fill="EFD3D2" w:themeFill="accent2" w:themeFillTint="3F"/>
    </w:tcPr>
    <w:tblStylePr w:type="firstRow">
      <w:rPr>
        <w:b/>
        <w:bCs/>
      </w:rPr>
    </w:tblStylePr>
    <w:tblStylePr w:type="lastRow">
      <w:rPr>
        <w:b/>
        <w:bCs/>
      </w:rPr>
      <w:tblPr/>
      <w:tcPr>
        <w:tcBorders>
          <w:top w:val="single" w:sz="18" w:space="0" w:color="CF7B79" w:themeColor="accent2" w:themeTint="BF"/>
        </w:tcBorders>
      </w:tcPr>
    </w:tblStylePr>
    <w:tblStylePr w:type="firstCol">
      <w:rPr>
        <w:b/>
        <w:bCs/>
      </w:rPr>
    </w:tblStylePr>
    <w:tblStylePr w:type="lastCol">
      <w:rPr>
        <w:b/>
        <w:bCs/>
      </w:r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MediumGrid1-Accent3">
    <w:name w:val="Medium Grid 1 Accent 3"/>
    <w:basedOn w:val="TableNormal"/>
    <w:uiPriority w:val="67"/>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insideV w:val="single" w:sz="8" w:space="0" w:color="B3CC82" w:themeColor="accent3" w:themeTint="BF"/>
      </w:tblBorders>
      <w:tblCellMar>
        <w:top w:w="0" w:type="dxa"/>
        <w:left w:w="108" w:type="dxa"/>
        <w:bottom w:w="0" w:type="dxa"/>
        <w:right w:w="108" w:type="dxa"/>
      </w:tblCellMar>
    </w:tblPr>
    <w:tcPr>
      <w:shd w:val="clear" w:color="auto" w:fill="E6EED5" w:themeFill="accent3" w:themeFillTint="3F"/>
    </w:tcPr>
    <w:tblStylePr w:type="firstRow">
      <w:rPr>
        <w:b/>
        <w:bCs/>
      </w:rPr>
    </w:tblStylePr>
    <w:tblStylePr w:type="lastRow">
      <w:rPr>
        <w:b/>
        <w:bCs/>
      </w:rPr>
      <w:tblPr/>
      <w:tcPr>
        <w:tcBorders>
          <w:top w:val="single" w:sz="18" w:space="0" w:color="B3CC82" w:themeColor="accent3" w:themeTint="BF"/>
        </w:tcBorders>
      </w:tcPr>
    </w:tblStylePr>
    <w:tblStylePr w:type="firstCol">
      <w:rPr>
        <w:b/>
        <w:bCs/>
      </w:rPr>
    </w:tblStylePr>
    <w:tblStylePr w:type="lastCol">
      <w:rPr>
        <w:b/>
        <w:bCs/>
      </w:r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MediumGrid1-Accent4">
    <w:name w:val="Medium Grid 1 Accent 4"/>
    <w:basedOn w:val="TableNormal"/>
    <w:uiPriority w:val="67"/>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insideV w:val="single" w:sz="8" w:space="0" w:color="9F8AB9" w:themeColor="accent4" w:themeTint="BF"/>
      </w:tblBorders>
      <w:tblCellMar>
        <w:top w:w="0" w:type="dxa"/>
        <w:left w:w="108" w:type="dxa"/>
        <w:bottom w:w="0" w:type="dxa"/>
        <w:right w:w="108" w:type="dxa"/>
      </w:tblCellMar>
    </w:tblPr>
    <w:tcPr>
      <w:shd w:val="clear" w:color="auto" w:fill="DFD8E8" w:themeFill="accent4" w:themeFillTint="3F"/>
    </w:tcPr>
    <w:tblStylePr w:type="firstRow">
      <w:rPr>
        <w:b/>
        <w:bCs/>
      </w:rPr>
    </w:tblStylePr>
    <w:tblStylePr w:type="lastRow">
      <w:rPr>
        <w:b/>
        <w:bCs/>
      </w:rPr>
      <w:tblPr/>
      <w:tcPr>
        <w:tcBorders>
          <w:top w:val="single" w:sz="18" w:space="0" w:color="9F8AB9" w:themeColor="accent4" w:themeTint="BF"/>
        </w:tcBorders>
      </w:tcPr>
    </w:tblStylePr>
    <w:tblStylePr w:type="firstCol">
      <w:rPr>
        <w:b/>
        <w:bCs/>
      </w:rPr>
    </w:tblStylePr>
    <w:tblStylePr w:type="lastCol">
      <w:rPr>
        <w:b/>
        <w:bCs/>
      </w:r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MediumGrid1-Accent5">
    <w:name w:val="Medium Grid 1 Accent 5"/>
    <w:basedOn w:val="TableNormal"/>
    <w:uiPriority w:val="67"/>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insideV w:val="single" w:sz="8" w:space="0" w:color="78C0D4" w:themeColor="accent5" w:themeTint="BF"/>
      </w:tblBorders>
      <w:tblCellMar>
        <w:top w:w="0" w:type="dxa"/>
        <w:left w:w="108" w:type="dxa"/>
        <w:bottom w:w="0" w:type="dxa"/>
        <w:right w:w="108" w:type="dxa"/>
      </w:tblCellMar>
    </w:tblPr>
    <w:tcPr>
      <w:shd w:val="clear" w:color="auto" w:fill="D2EAF1" w:themeFill="accent5" w:themeFillTint="3F"/>
    </w:tcPr>
    <w:tblStylePr w:type="firstRow">
      <w:rPr>
        <w:b/>
        <w:bCs/>
      </w:rPr>
    </w:tblStylePr>
    <w:tblStylePr w:type="lastRow">
      <w:rPr>
        <w:b/>
        <w:bCs/>
      </w:rPr>
      <w:tblPr/>
      <w:tcPr>
        <w:tcBorders>
          <w:top w:val="single" w:sz="18" w:space="0" w:color="78C0D4" w:themeColor="accent5" w:themeTint="BF"/>
        </w:tcBorders>
      </w:tcPr>
    </w:tblStylePr>
    <w:tblStylePr w:type="firstCol">
      <w:rPr>
        <w:b/>
        <w:bCs/>
      </w:rPr>
    </w:tblStylePr>
    <w:tblStylePr w:type="lastCol">
      <w:rPr>
        <w:b/>
        <w:bCs/>
      </w:r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MediumGrid1-Accent6">
    <w:name w:val="Medium Grid 1 Accent 6"/>
    <w:basedOn w:val="TableNormal"/>
    <w:uiPriority w:val="67"/>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insideV w:val="single" w:sz="8" w:space="0" w:color="F9B074" w:themeColor="accent6" w:themeTint="BF"/>
      </w:tblBorders>
      <w:tblCellMar>
        <w:top w:w="0" w:type="dxa"/>
        <w:left w:w="108" w:type="dxa"/>
        <w:bottom w:w="0" w:type="dxa"/>
        <w:right w:w="108" w:type="dxa"/>
      </w:tblCellMar>
    </w:tblPr>
    <w:tcPr>
      <w:shd w:val="clear" w:color="auto" w:fill="FDE4D0" w:themeFill="accent6" w:themeFillTint="3F"/>
    </w:tcPr>
    <w:tblStylePr w:type="firstRow">
      <w:rPr>
        <w:b/>
        <w:bCs/>
      </w:rPr>
    </w:tblStylePr>
    <w:tblStylePr w:type="lastRow">
      <w:rPr>
        <w:b/>
        <w:bCs/>
      </w:rPr>
      <w:tblPr/>
      <w:tcPr>
        <w:tcBorders>
          <w:top w:val="single" w:sz="18" w:space="0" w:color="F9B074" w:themeColor="accent6" w:themeTint="BF"/>
        </w:tcBorders>
      </w:tcPr>
    </w:tblStylePr>
    <w:tblStylePr w:type="firstCol">
      <w:rPr>
        <w:b/>
        <w:bCs/>
      </w:rPr>
    </w:tblStylePr>
    <w:tblStylePr w:type="lastCol">
      <w:rPr>
        <w:b/>
        <w:bCs/>
      </w:r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table" w:styleId="MediumGrid2">
    <w:name w:val="Medium Grid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cPr>
      <w:shd w:val="clear" w:color="auto" w:fill="C0C0C0" w:themeFill="text1" w:themeFillTint="3F"/>
    </w:tcPr>
    <w:tblStylePr w:type="firstRow">
      <w:rPr>
        <w:b/>
        <w:bCs/>
        <w:color w:val="000000" w:themeColor="text1"/>
      </w:rPr>
      <w:tblPr/>
      <w:tcPr>
        <w:shd w:val="clear" w:color="auto" w:fill="E6E6E6" w:themeFill="tex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CCCCC" w:themeFill="text1" w:themeFillTint="33"/>
      </w:tcPr>
    </w:tblStylePr>
    <w:tblStylePr w:type="band1Vert">
      <w:tblPr/>
      <w:tcPr>
        <w:shd w:val="clear" w:color="auto" w:fill="808080" w:themeFill="text1" w:themeFillTint="7F"/>
      </w:tcPr>
    </w:tblStylePr>
    <w:tblStylePr w:type="band1Horz">
      <w:tblPr/>
      <w:tcPr>
        <w:tcBorders>
          <w:insideH w:val="single" w:sz="6" w:space="0" w:color="000000" w:themeColor="text1"/>
          <w:insideV w:val="single" w:sz="6" w:space="0" w:color="000000" w:themeColor="text1"/>
        </w:tcBorders>
        <w:shd w:val="clear" w:color="auto" w:fill="808080" w:themeFill="text1" w:themeFillTint="7F"/>
      </w:tcPr>
    </w:tblStylePr>
    <w:tblStylePr w:type="nwCell">
      <w:tblPr/>
      <w:tcPr>
        <w:shd w:val="clear" w:color="auto" w:fill="FFFFFF" w:themeFill="background1"/>
      </w:tcPr>
    </w:tblStylePr>
  </w:style>
  <w:style w:type="table" w:styleId="MediumGrid2-Accent1">
    <w:name w:val="Medium Grid 2 Accent 1"/>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cPr>
      <w:shd w:val="clear" w:color="auto" w:fill="D3DFEE" w:themeFill="accent1" w:themeFillTint="3F"/>
    </w:tcPr>
    <w:tblStylePr w:type="firstRow">
      <w:rPr>
        <w:b/>
        <w:bCs/>
        <w:color w:val="000000" w:themeColor="text1"/>
      </w:rPr>
      <w:tblPr/>
      <w:tcPr>
        <w:shd w:val="clear" w:color="auto" w:fill="EDF2F8" w:themeFill="accen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BE5F1" w:themeFill="accent1" w:themeFillTint="33"/>
      </w:tcPr>
    </w:tblStylePr>
    <w:tblStylePr w:type="band1Vert">
      <w:tblPr/>
      <w:tcPr>
        <w:shd w:val="clear" w:color="auto" w:fill="A7BFDE" w:themeFill="accent1" w:themeFillTint="7F"/>
      </w:tcPr>
    </w:tblStylePr>
    <w:tblStylePr w:type="band1Horz">
      <w:tblPr/>
      <w:tcPr>
        <w:tcBorders>
          <w:insideH w:val="single" w:sz="6" w:space="0" w:color="4F81BD" w:themeColor="accent1"/>
          <w:insideV w:val="single" w:sz="6" w:space="0" w:color="4F81BD" w:themeColor="accent1"/>
        </w:tcBorders>
        <w:shd w:val="clear" w:color="auto" w:fill="A7BFDE" w:themeFill="accent1" w:themeFillTint="7F"/>
      </w:tcPr>
    </w:tblStylePr>
    <w:tblStylePr w:type="nwCell">
      <w:tblPr/>
      <w:tcPr>
        <w:shd w:val="clear" w:color="auto" w:fill="FFFFFF" w:themeFill="background1"/>
      </w:tcPr>
    </w:tblStylePr>
  </w:style>
  <w:style w:type="table" w:styleId="MediumGrid2-Accent2">
    <w:name w:val="Medium Grid 2 Accent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cPr>
      <w:shd w:val="clear" w:color="auto" w:fill="EFD3D2" w:themeFill="accent2" w:themeFillTint="3F"/>
    </w:tcPr>
    <w:tblStylePr w:type="firstRow">
      <w:rPr>
        <w:b/>
        <w:bCs/>
        <w:color w:val="000000" w:themeColor="text1"/>
      </w:rPr>
      <w:tblPr/>
      <w:tcPr>
        <w:shd w:val="clear" w:color="auto" w:fill="F8EDED" w:themeFill="accent2"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2DBDB" w:themeFill="accent2" w:themeFillTint="33"/>
      </w:tcPr>
    </w:tblStylePr>
    <w:tblStylePr w:type="band1Vert">
      <w:tblPr/>
      <w:tcPr>
        <w:shd w:val="clear" w:color="auto" w:fill="DFA7A6" w:themeFill="accent2" w:themeFillTint="7F"/>
      </w:tcPr>
    </w:tblStylePr>
    <w:tblStylePr w:type="band1Horz">
      <w:tblPr/>
      <w:tcPr>
        <w:tcBorders>
          <w:insideH w:val="single" w:sz="6" w:space="0" w:color="C0504D" w:themeColor="accent2"/>
          <w:insideV w:val="single" w:sz="6" w:space="0" w:color="C0504D" w:themeColor="accent2"/>
        </w:tcBorders>
        <w:shd w:val="clear" w:color="auto" w:fill="DFA7A6" w:themeFill="accent2" w:themeFillTint="7F"/>
      </w:tcPr>
    </w:tblStylePr>
    <w:tblStylePr w:type="nwCell">
      <w:tblPr/>
      <w:tcPr>
        <w:shd w:val="clear" w:color="auto" w:fill="FFFFFF" w:themeFill="background1"/>
      </w:tcPr>
    </w:tblStylePr>
  </w:style>
  <w:style w:type="table" w:styleId="MediumGrid2-Accent3">
    <w:name w:val="Medium Grid 2 Accent 3"/>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cPr>
      <w:shd w:val="clear" w:color="auto" w:fill="E6EED5" w:themeFill="accent3" w:themeFillTint="3F"/>
    </w:tcPr>
    <w:tblStylePr w:type="firstRow">
      <w:rPr>
        <w:b/>
        <w:bCs/>
        <w:color w:val="000000" w:themeColor="text1"/>
      </w:rPr>
      <w:tblPr/>
      <w:tcPr>
        <w:shd w:val="clear" w:color="auto" w:fill="F5F8EE" w:themeFill="accent3"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AF1DD" w:themeFill="accent3" w:themeFillTint="33"/>
      </w:tcPr>
    </w:tblStylePr>
    <w:tblStylePr w:type="band1Vert">
      <w:tblPr/>
      <w:tcPr>
        <w:shd w:val="clear" w:color="auto" w:fill="CDDDAC" w:themeFill="accent3" w:themeFillTint="7F"/>
      </w:tcPr>
    </w:tblStylePr>
    <w:tblStylePr w:type="band1Horz">
      <w:tblPr/>
      <w:tcPr>
        <w:tcBorders>
          <w:insideH w:val="single" w:sz="6" w:space="0" w:color="9BBB59" w:themeColor="accent3"/>
          <w:insideV w:val="single" w:sz="6" w:space="0" w:color="9BBB59" w:themeColor="accent3"/>
        </w:tcBorders>
        <w:shd w:val="clear" w:color="auto" w:fill="CDDDAC" w:themeFill="accent3" w:themeFillTint="7F"/>
      </w:tcPr>
    </w:tblStylePr>
    <w:tblStylePr w:type="nwCell">
      <w:tblPr/>
      <w:tcPr>
        <w:shd w:val="clear" w:color="auto" w:fill="FFFFFF" w:themeFill="background1"/>
      </w:tcPr>
    </w:tblStylePr>
  </w:style>
  <w:style w:type="table" w:styleId="MediumGrid2-Accent4">
    <w:name w:val="Medium Grid 2 Accent 4"/>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cPr>
      <w:shd w:val="clear" w:color="auto" w:fill="DFD8E8" w:themeFill="accent4" w:themeFillTint="3F"/>
    </w:tcPr>
    <w:tblStylePr w:type="firstRow">
      <w:rPr>
        <w:b/>
        <w:bCs/>
        <w:color w:val="000000" w:themeColor="text1"/>
      </w:rPr>
      <w:tblPr/>
      <w:tcPr>
        <w:shd w:val="clear" w:color="auto" w:fill="F2EFF6" w:themeFill="accent4"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5DFEC" w:themeFill="accent4" w:themeFillTint="33"/>
      </w:tcPr>
    </w:tblStylePr>
    <w:tblStylePr w:type="band1Vert">
      <w:tblPr/>
      <w:tcPr>
        <w:shd w:val="clear" w:color="auto" w:fill="BFB1D0" w:themeFill="accent4" w:themeFillTint="7F"/>
      </w:tcPr>
    </w:tblStylePr>
    <w:tblStylePr w:type="band1Horz">
      <w:tblPr/>
      <w:tcPr>
        <w:tcBorders>
          <w:insideH w:val="single" w:sz="6" w:space="0" w:color="8064A2" w:themeColor="accent4"/>
          <w:insideV w:val="single" w:sz="6" w:space="0" w:color="8064A2" w:themeColor="accent4"/>
        </w:tcBorders>
        <w:shd w:val="clear" w:color="auto" w:fill="BFB1D0" w:themeFill="accent4" w:themeFillTint="7F"/>
      </w:tcPr>
    </w:tblStylePr>
    <w:tblStylePr w:type="nwCell">
      <w:tblPr/>
      <w:tcPr>
        <w:shd w:val="clear" w:color="auto" w:fill="FFFFFF" w:themeFill="background1"/>
      </w:tcPr>
    </w:tblStylePr>
  </w:style>
  <w:style w:type="table" w:styleId="MediumGrid2-Accent5">
    <w:name w:val="Medium Grid 2 Accent 5"/>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cPr>
      <w:shd w:val="clear" w:color="auto" w:fill="D2EAF1" w:themeFill="accent5" w:themeFillTint="3F"/>
    </w:tcPr>
    <w:tblStylePr w:type="firstRow">
      <w:rPr>
        <w:b/>
        <w:bCs/>
        <w:color w:val="000000" w:themeColor="text1"/>
      </w:rPr>
      <w:tblPr/>
      <w:tcPr>
        <w:shd w:val="clear" w:color="auto" w:fill="EDF6F9" w:themeFill="accent5"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AEEF3" w:themeFill="accent5" w:themeFillTint="33"/>
      </w:tcPr>
    </w:tblStylePr>
    <w:tblStylePr w:type="band1Vert">
      <w:tblPr/>
      <w:tcPr>
        <w:shd w:val="clear" w:color="auto" w:fill="A5D5E2" w:themeFill="accent5" w:themeFillTint="7F"/>
      </w:tcPr>
    </w:tblStylePr>
    <w:tblStylePr w:type="band1Horz">
      <w:tblPr/>
      <w:tcPr>
        <w:tcBorders>
          <w:insideH w:val="single" w:sz="6" w:space="0" w:color="4BACC6" w:themeColor="accent5"/>
          <w:insideV w:val="single" w:sz="6" w:space="0" w:color="4BACC6" w:themeColor="accent5"/>
        </w:tcBorders>
        <w:shd w:val="clear" w:color="auto" w:fill="A5D5E2" w:themeFill="accent5" w:themeFillTint="7F"/>
      </w:tcPr>
    </w:tblStylePr>
    <w:tblStylePr w:type="nwCell">
      <w:tblPr/>
      <w:tcPr>
        <w:shd w:val="clear" w:color="auto" w:fill="FFFFFF" w:themeFill="background1"/>
      </w:tcPr>
    </w:tblStylePr>
  </w:style>
  <w:style w:type="table" w:styleId="MediumGrid2-Accent6">
    <w:name w:val="Medium Grid 2 Accent 6"/>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cPr>
      <w:shd w:val="clear" w:color="auto" w:fill="FDE4D0" w:themeFill="accent6" w:themeFillTint="3F"/>
    </w:tcPr>
    <w:tblStylePr w:type="firstRow">
      <w:rPr>
        <w:b/>
        <w:bCs/>
        <w:color w:val="000000" w:themeColor="text1"/>
      </w:rPr>
      <w:tblPr/>
      <w:tcPr>
        <w:shd w:val="clear" w:color="auto" w:fill="FEF4EC" w:themeFill="accent6"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DE9D9" w:themeFill="accent6" w:themeFillTint="33"/>
      </w:tcPr>
    </w:tblStylePr>
    <w:tblStylePr w:type="band1Vert">
      <w:tblPr/>
      <w:tcPr>
        <w:shd w:val="clear" w:color="auto" w:fill="FBCAA2" w:themeFill="accent6" w:themeFillTint="7F"/>
      </w:tcPr>
    </w:tblStylePr>
    <w:tblStylePr w:type="band1Horz">
      <w:tblPr/>
      <w:tcPr>
        <w:tcBorders>
          <w:insideH w:val="single" w:sz="6" w:space="0" w:color="F79646" w:themeColor="accent6"/>
          <w:insideV w:val="single" w:sz="6" w:space="0" w:color="F79646" w:themeColor="accent6"/>
        </w:tcBorders>
        <w:shd w:val="clear" w:color="auto" w:fill="FBCAA2" w:themeFill="accent6" w:themeFillTint="7F"/>
      </w:tcPr>
    </w:tblStylePr>
    <w:tblStylePr w:type="nwCell">
      <w:tblPr/>
      <w:tcPr>
        <w:shd w:val="clear" w:color="auto" w:fill="FFFFFF" w:themeFill="background1"/>
      </w:tcPr>
    </w:tblStylePr>
  </w:style>
  <w:style w:type="table" w:styleId="MediumGrid3">
    <w:name w:val="Medium Grid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C0C0C0" w:themeFill="tex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000000" w:themeFill="tex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000000" w:themeFill="tex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808080" w:themeFill="tex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808080" w:themeFill="text1" w:themeFillTint="7F"/>
      </w:tcPr>
    </w:tblStylePr>
  </w:style>
  <w:style w:type="table" w:styleId="MediumGrid3-Accent1">
    <w:name w:val="Medium Grid 3 Accent 1"/>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3DFEE" w:themeFill="accen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F81BD" w:themeFill="accen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F81BD" w:themeFill="accen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7BFDE" w:themeFill="accen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7BFDE" w:themeFill="accent1" w:themeFillTint="7F"/>
      </w:tcPr>
    </w:tblStylePr>
  </w:style>
  <w:style w:type="table" w:styleId="MediumGrid3-Accent2">
    <w:name w:val="Medium Grid 3 Accent 2"/>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FD3D2" w:themeFill="accent2"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C0504D" w:themeFill="accent2"/>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C0504D" w:themeFill="accent2"/>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DFA7A6" w:themeFill="accent2"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DFA7A6" w:themeFill="accent2" w:themeFillTint="7F"/>
      </w:tcPr>
    </w:tblStylePr>
  </w:style>
  <w:style w:type="table" w:styleId="MediumGrid3-Accent3">
    <w:name w:val="Medium Grid 3 Accent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6EED5" w:themeFill="accent3"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9BBB59" w:themeFill="accent3"/>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9BBB59" w:themeFill="accent3"/>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CDDDAC" w:themeFill="accent3"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CDDDAC" w:themeFill="accent3" w:themeFillTint="7F"/>
      </w:tcPr>
    </w:tblStylePr>
  </w:style>
  <w:style w:type="table" w:styleId="MediumGrid3-Accent4">
    <w:name w:val="Medium Grid 3 Accent 4"/>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FD8E8" w:themeFill="accent4"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8064A2" w:themeFill="accent4"/>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8064A2" w:themeFill="accent4"/>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BFB1D0" w:themeFill="accent4"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BFB1D0" w:themeFill="accent4" w:themeFillTint="7F"/>
      </w:tcPr>
    </w:tblStylePr>
  </w:style>
  <w:style w:type="table" w:styleId="MediumGrid3-Accent5">
    <w:name w:val="Medium Grid 3 Accent 5"/>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2EAF1" w:themeFill="accent5"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BACC6" w:themeFill="accent5"/>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BACC6" w:themeFill="accent5"/>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5D5E2" w:themeFill="accent5"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5D5E2" w:themeFill="accent5" w:themeFillTint="7F"/>
      </w:tcPr>
    </w:tblStylePr>
  </w:style>
  <w:style w:type="table" w:styleId="MediumGrid3-Accent6">
    <w:name w:val="Medium Grid 3 Accent 6"/>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FDE4D0" w:themeFill="accent6"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F79646" w:themeFill="accent6"/>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F79646" w:themeFill="accent6"/>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FBCAA2" w:themeFill="accent6"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FBCAA2" w:themeFill="accent6" w:themeFillTint="7F"/>
      </w:tcPr>
    </w:tblStylePr>
  </w:style>
  <w:style w:type="table" w:styleId="DarkList">
    <w:name w:val="Dark List"/>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000000" w:themeFill="tex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00000" w:themeFill="text1" w:themeFillShade="7F"/>
      </w:tcPr>
    </w:tblStylePr>
    <w:tblStylePr w:type="firstCol">
      <w:tblPr/>
      <w:tcPr>
        <w:tcBorders>
          <w:top w:val="nil"/>
          <w:left w:val="nil"/>
          <w:bottom w:val="nil"/>
          <w:right w:val="single" w:sz="18" w:space="0" w:color="FFFFFF" w:themeColor="background1"/>
          <w:insideH w:val="nil"/>
          <w:insideV w:val="nil"/>
        </w:tcBorders>
        <w:shd w:val="clear" w:color="auto" w:fill="000000" w:themeFill="text1" w:themeFillShade="BF"/>
      </w:tcPr>
    </w:tblStylePr>
    <w:tblStylePr w:type="lastCol">
      <w:tblPr/>
      <w:tcPr>
        <w:tcBorders>
          <w:top w:val="nil"/>
          <w:left w:val="single" w:sz="18" w:space="0" w:color="FFFFFF" w:themeColor="background1"/>
          <w:bottom w:val="nil"/>
          <w:right w:val="nil"/>
          <w:insideH w:val="nil"/>
          <w:insideV w:val="nil"/>
        </w:tcBorders>
        <w:shd w:val="clear" w:color="auto" w:fill="000000" w:themeFill="text1" w:themeFillShade="BF"/>
      </w:tcPr>
    </w:tblStylePr>
    <w:tblStylePr w:type="band1Vert">
      <w:tblPr/>
      <w:tcPr>
        <w:tcBorders>
          <w:top w:val="nil"/>
          <w:left w:val="nil"/>
          <w:bottom w:val="nil"/>
          <w:right w:val="nil"/>
          <w:insideH w:val="nil"/>
          <w:insideV w:val="nil"/>
        </w:tcBorders>
        <w:shd w:val="clear" w:color="auto" w:fill="000000" w:themeFill="text1" w:themeFillShade="BF"/>
      </w:tcPr>
    </w:tblStylePr>
    <w:tblStylePr w:type="band1Horz">
      <w:tblPr/>
      <w:tcPr>
        <w:tcBorders>
          <w:top w:val="nil"/>
          <w:left w:val="nil"/>
          <w:bottom w:val="nil"/>
          <w:right w:val="nil"/>
          <w:insideH w:val="nil"/>
          <w:insideV w:val="nil"/>
        </w:tcBorders>
        <w:shd w:val="clear" w:color="auto" w:fill="000000" w:themeFill="text1" w:themeFillShade="BF"/>
      </w:tcPr>
    </w:tblStylePr>
  </w:style>
  <w:style w:type="table" w:styleId="DarkList-Accent1">
    <w:name w:val="Dark List Accent 1"/>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F81BD" w:themeFill="accen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43F60" w:themeFill="accent1" w:themeFillShade="7F"/>
      </w:tcPr>
    </w:tblStylePr>
    <w:tblStylePr w:type="firstCol">
      <w:tblPr/>
      <w:tcPr>
        <w:tcBorders>
          <w:top w:val="nil"/>
          <w:left w:val="nil"/>
          <w:bottom w:val="nil"/>
          <w:right w:val="single" w:sz="18" w:space="0" w:color="FFFFFF" w:themeColor="background1"/>
          <w:insideH w:val="nil"/>
          <w:insideV w:val="nil"/>
        </w:tcBorders>
        <w:shd w:val="clear" w:color="auto" w:fill="365F91" w:themeFill="accent1" w:themeFillShade="BF"/>
      </w:tcPr>
    </w:tblStylePr>
    <w:tblStylePr w:type="lastCol">
      <w:tblPr/>
      <w:tcPr>
        <w:tcBorders>
          <w:top w:val="nil"/>
          <w:left w:val="single" w:sz="18" w:space="0" w:color="FFFFFF" w:themeColor="background1"/>
          <w:bottom w:val="nil"/>
          <w:right w:val="nil"/>
          <w:insideH w:val="nil"/>
          <w:insideV w:val="nil"/>
        </w:tcBorders>
        <w:shd w:val="clear" w:color="auto" w:fill="365F91" w:themeFill="accent1" w:themeFillShade="BF"/>
      </w:tcPr>
    </w:tblStylePr>
    <w:tblStylePr w:type="band1Vert">
      <w:tblPr/>
      <w:tcPr>
        <w:tcBorders>
          <w:top w:val="nil"/>
          <w:left w:val="nil"/>
          <w:bottom w:val="nil"/>
          <w:right w:val="nil"/>
          <w:insideH w:val="nil"/>
          <w:insideV w:val="nil"/>
        </w:tcBorders>
        <w:shd w:val="clear" w:color="auto" w:fill="365F91" w:themeFill="accent1" w:themeFillShade="BF"/>
      </w:tcPr>
    </w:tblStylePr>
    <w:tblStylePr w:type="band1Horz">
      <w:tblPr/>
      <w:tcPr>
        <w:tcBorders>
          <w:top w:val="nil"/>
          <w:left w:val="nil"/>
          <w:bottom w:val="nil"/>
          <w:right w:val="nil"/>
          <w:insideH w:val="nil"/>
          <w:insideV w:val="nil"/>
        </w:tcBorders>
        <w:shd w:val="clear" w:color="auto" w:fill="365F91" w:themeFill="accent1" w:themeFillShade="BF"/>
      </w:tcPr>
    </w:tblStylePr>
  </w:style>
  <w:style w:type="table" w:styleId="DarkList-Accent2">
    <w:name w:val="Dark List Accent 2"/>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C0504D" w:themeFill="accent2"/>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622423" w:themeFill="accent2" w:themeFillShade="7F"/>
      </w:tcPr>
    </w:tblStylePr>
    <w:tblStylePr w:type="firstCol">
      <w:tblPr/>
      <w:tcPr>
        <w:tcBorders>
          <w:top w:val="nil"/>
          <w:left w:val="nil"/>
          <w:bottom w:val="nil"/>
          <w:right w:val="single" w:sz="18" w:space="0" w:color="FFFFFF" w:themeColor="background1"/>
          <w:insideH w:val="nil"/>
          <w:insideV w:val="nil"/>
        </w:tcBorders>
        <w:shd w:val="clear" w:color="auto" w:fill="943634" w:themeFill="accent2" w:themeFillShade="BF"/>
      </w:tcPr>
    </w:tblStylePr>
    <w:tblStylePr w:type="lastCol">
      <w:tblPr/>
      <w:tcPr>
        <w:tcBorders>
          <w:top w:val="nil"/>
          <w:left w:val="single" w:sz="18" w:space="0" w:color="FFFFFF" w:themeColor="background1"/>
          <w:bottom w:val="nil"/>
          <w:right w:val="nil"/>
          <w:insideH w:val="nil"/>
          <w:insideV w:val="nil"/>
        </w:tcBorders>
        <w:shd w:val="clear" w:color="auto" w:fill="943634" w:themeFill="accent2" w:themeFillShade="BF"/>
      </w:tcPr>
    </w:tblStylePr>
    <w:tblStylePr w:type="band1Vert">
      <w:tblPr/>
      <w:tcPr>
        <w:tcBorders>
          <w:top w:val="nil"/>
          <w:left w:val="nil"/>
          <w:bottom w:val="nil"/>
          <w:right w:val="nil"/>
          <w:insideH w:val="nil"/>
          <w:insideV w:val="nil"/>
        </w:tcBorders>
        <w:shd w:val="clear" w:color="auto" w:fill="943634" w:themeFill="accent2" w:themeFillShade="BF"/>
      </w:tcPr>
    </w:tblStylePr>
    <w:tblStylePr w:type="band1Horz">
      <w:tblPr/>
      <w:tcPr>
        <w:tcBorders>
          <w:top w:val="nil"/>
          <w:left w:val="nil"/>
          <w:bottom w:val="nil"/>
          <w:right w:val="nil"/>
          <w:insideH w:val="nil"/>
          <w:insideV w:val="nil"/>
        </w:tcBorders>
        <w:shd w:val="clear" w:color="auto" w:fill="943634" w:themeFill="accent2" w:themeFillShade="BF"/>
      </w:tcPr>
    </w:tblStylePr>
  </w:style>
  <w:style w:type="table" w:styleId="DarkList-Accent3">
    <w:name w:val="Dark List Accent 3"/>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9BBB59" w:themeFill="accent3"/>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4E6128" w:themeFill="accent3" w:themeFillShade="7F"/>
      </w:tcPr>
    </w:tblStylePr>
    <w:tblStylePr w:type="firstCol">
      <w:tblPr/>
      <w:tcPr>
        <w:tcBorders>
          <w:top w:val="nil"/>
          <w:left w:val="nil"/>
          <w:bottom w:val="nil"/>
          <w:right w:val="single" w:sz="18" w:space="0" w:color="FFFFFF" w:themeColor="background1"/>
          <w:insideH w:val="nil"/>
          <w:insideV w:val="nil"/>
        </w:tcBorders>
        <w:shd w:val="clear" w:color="auto" w:fill="76923C" w:themeFill="accent3" w:themeFillShade="BF"/>
      </w:tcPr>
    </w:tblStylePr>
    <w:tblStylePr w:type="lastCol">
      <w:tblPr/>
      <w:tcPr>
        <w:tcBorders>
          <w:top w:val="nil"/>
          <w:left w:val="single" w:sz="18" w:space="0" w:color="FFFFFF" w:themeColor="background1"/>
          <w:bottom w:val="nil"/>
          <w:right w:val="nil"/>
          <w:insideH w:val="nil"/>
          <w:insideV w:val="nil"/>
        </w:tcBorders>
        <w:shd w:val="clear" w:color="auto" w:fill="76923C" w:themeFill="accent3" w:themeFillShade="BF"/>
      </w:tcPr>
    </w:tblStylePr>
    <w:tblStylePr w:type="band1Vert">
      <w:tblPr/>
      <w:tcPr>
        <w:tcBorders>
          <w:top w:val="nil"/>
          <w:left w:val="nil"/>
          <w:bottom w:val="nil"/>
          <w:right w:val="nil"/>
          <w:insideH w:val="nil"/>
          <w:insideV w:val="nil"/>
        </w:tcBorders>
        <w:shd w:val="clear" w:color="auto" w:fill="76923C" w:themeFill="accent3" w:themeFillShade="BF"/>
      </w:tcPr>
    </w:tblStylePr>
    <w:tblStylePr w:type="band1Horz">
      <w:tblPr/>
      <w:tcPr>
        <w:tcBorders>
          <w:top w:val="nil"/>
          <w:left w:val="nil"/>
          <w:bottom w:val="nil"/>
          <w:right w:val="nil"/>
          <w:insideH w:val="nil"/>
          <w:insideV w:val="nil"/>
        </w:tcBorders>
        <w:shd w:val="clear" w:color="auto" w:fill="76923C" w:themeFill="accent3" w:themeFillShade="BF"/>
      </w:tcPr>
    </w:tblStylePr>
  </w:style>
  <w:style w:type="table" w:styleId="DarkList-Accent4">
    <w:name w:val="Dark List Accent 4"/>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8064A2" w:themeFill="accent4"/>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3F3151" w:themeFill="accent4" w:themeFillShade="7F"/>
      </w:tcPr>
    </w:tblStylePr>
    <w:tblStylePr w:type="firstCol">
      <w:tblPr/>
      <w:tcPr>
        <w:tcBorders>
          <w:top w:val="nil"/>
          <w:left w:val="nil"/>
          <w:bottom w:val="nil"/>
          <w:right w:val="single" w:sz="18" w:space="0" w:color="FFFFFF" w:themeColor="background1"/>
          <w:insideH w:val="nil"/>
          <w:insideV w:val="nil"/>
        </w:tcBorders>
        <w:shd w:val="clear" w:color="auto" w:fill="5F497A" w:themeFill="accent4" w:themeFillShade="BF"/>
      </w:tcPr>
    </w:tblStylePr>
    <w:tblStylePr w:type="lastCol">
      <w:tblPr/>
      <w:tcPr>
        <w:tcBorders>
          <w:top w:val="nil"/>
          <w:left w:val="single" w:sz="18" w:space="0" w:color="FFFFFF" w:themeColor="background1"/>
          <w:bottom w:val="nil"/>
          <w:right w:val="nil"/>
          <w:insideH w:val="nil"/>
          <w:insideV w:val="nil"/>
        </w:tcBorders>
        <w:shd w:val="clear" w:color="auto" w:fill="5F497A" w:themeFill="accent4" w:themeFillShade="BF"/>
      </w:tcPr>
    </w:tblStylePr>
    <w:tblStylePr w:type="band1Vert">
      <w:tblPr/>
      <w:tcPr>
        <w:tcBorders>
          <w:top w:val="nil"/>
          <w:left w:val="nil"/>
          <w:bottom w:val="nil"/>
          <w:right w:val="nil"/>
          <w:insideH w:val="nil"/>
          <w:insideV w:val="nil"/>
        </w:tcBorders>
        <w:shd w:val="clear" w:color="auto" w:fill="5F497A" w:themeFill="accent4" w:themeFillShade="BF"/>
      </w:tcPr>
    </w:tblStylePr>
    <w:tblStylePr w:type="band1Horz">
      <w:tblPr/>
      <w:tcPr>
        <w:tcBorders>
          <w:top w:val="nil"/>
          <w:left w:val="nil"/>
          <w:bottom w:val="nil"/>
          <w:right w:val="nil"/>
          <w:insideH w:val="nil"/>
          <w:insideV w:val="nil"/>
        </w:tcBorders>
        <w:shd w:val="clear" w:color="auto" w:fill="5F497A" w:themeFill="accent4" w:themeFillShade="BF"/>
      </w:tcPr>
    </w:tblStylePr>
  </w:style>
  <w:style w:type="table" w:styleId="DarkList-Accent5">
    <w:name w:val="Dark List Accent 5"/>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BACC6" w:themeFill="accent5"/>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05867" w:themeFill="accent5" w:themeFillShade="7F"/>
      </w:tcPr>
    </w:tblStylePr>
    <w:tblStylePr w:type="firstCol">
      <w:tblPr/>
      <w:tcPr>
        <w:tcBorders>
          <w:top w:val="nil"/>
          <w:left w:val="nil"/>
          <w:bottom w:val="nil"/>
          <w:right w:val="single" w:sz="18" w:space="0" w:color="FFFFFF" w:themeColor="background1"/>
          <w:insideH w:val="nil"/>
          <w:insideV w:val="nil"/>
        </w:tcBorders>
        <w:shd w:val="clear" w:color="auto" w:fill="31849B" w:themeFill="accent5" w:themeFillShade="BF"/>
      </w:tcPr>
    </w:tblStylePr>
    <w:tblStylePr w:type="lastCol">
      <w:tblPr/>
      <w:tcPr>
        <w:tcBorders>
          <w:top w:val="nil"/>
          <w:left w:val="single" w:sz="18" w:space="0" w:color="FFFFFF" w:themeColor="background1"/>
          <w:bottom w:val="nil"/>
          <w:right w:val="nil"/>
          <w:insideH w:val="nil"/>
          <w:insideV w:val="nil"/>
        </w:tcBorders>
        <w:shd w:val="clear" w:color="auto" w:fill="31849B" w:themeFill="accent5" w:themeFillShade="BF"/>
      </w:tcPr>
    </w:tblStylePr>
    <w:tblStylePr w:type="band1Vert">
      <w:tblPr/>
      <w:tcPr>
        <w:tcBorders>
          <w:top w:val="nil"/>
          <w:left w:val="nil"/>
          <w:bottom w:val="nil"/>
          <w:right w:val="nil"/>
          <w:insideH w:val="nil"/>
          <w:insideV w:val="nil"/>
        </w:tcBorders>
        <w:shd w:val="clear" w:color="auto" w:fill="31849B" w:themeFill="accent5" w:themeFillShade="BF"/>
      </w:tcPr>
    </w:tblStylePr>
    <w:tblStylePr w:type="band1Horz">
      <w:tblPr/>
      <w:tcPr>
        <w:tcBorders>
          <w:top w:val="nil"/>
          <w:left w:val="nil"/>
          <w:bottom w:val="nil"/>
          <w:right w:val="nil"/>
          <w:insideH w:val="nil"/>
          <w:insideV w:val="nil"/>
        </w:tcBorders>
        <w:shd w:val="clear" w:color="auto" w:fill="31849B" w:themeFill="accent5" w:themeFillShade="BF"/>
      </w:tcPr>
    </w:tblStylePr>
  </w:style>
  <w:style w:type="table" w:styleId="DarkList-Accent6">
    <w:name w:val="Dark List Accent 6"/>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F79646" w:themeFill="accent6"/>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974706" w:themeFill="accent6" w:themeFillShade="7F"/>
      </w:tcPr>
    </w:tblStylePr>
    <w:tblStylePr w:type="firstCol">
      <w:tblPr/>
      <w:tcPr>
        <w:tcBorders>
          <w:top w:val="nil"/>
          <w:left w:val="nil"/>
          <w:bottom w:val="nil"/>
          <w:right w:val="single" w:sz="18" w:space="0" w:color="FFFFFF" w:themeColor="background1"/>
          <w:insideH w:val="nil"/>
          <w:insideV w:val="nil"/>
        </w:tcBorders>
        <w:shd w:val="clear" w:color="auto" w:fill="E36C0A" w:themeFill="accent6" w:themeFillShade="BF"/>
      </w:tcPr>
    </w:tblStylePr>
    <w:tblStylePr w:type="lastCol">
      <w:tblPr/>
      <w:tcPr>
        <w:tcBorders>
          <w:top w:val="nil"/>
          <w:left w:val="single" w:sz="18" w:space="0" w:color="FFFFFF" w:themeColor="background1"/>
          <w:bottom w:val="nil"/>
          <w:right w:val="nil"/>
          <w:insideH w:val="nil"/>
          <w:insideV w:val="nil"/>
        </w:tcBorders>
        <w:shd w:val="clear" w:color="auto" w:fill="E36C0A" w:themeFill="accent6" w:themeFillShade="BF"/>
      </w:tcPr>
    </w:tblStylePr>
    <w:tblStylePr w:type="band1Vert">
      <w:tblPr/>
      <w:tcPr>
        <w:tcBorders>
          <w:top w:val="nil"/>
          <w:left w:val="nil"/>
          <w:bottom w:val="nil"/>
          <w:right w:val="nil"/>
          <w:insideH w:val="nil"/>
          <w:insideV w:val="nil"/>
        </w:tcBorders>
        <w:shd w:val="clear" w:color="auto" w:fill="E36C0A" w:themeFill="accent6" w:themeFillShade="BF"/>
      </w:tcPr>
    </w:tblStylePr>
    <w:tblStylePr w:type="band1Horz">
      <w:tblPr/>
      <w:tcPr>
        <w:tcBorders>
          <w:top w:val="nil"/>
          <w:left w:val="nil"/>
          <w:bottom w:val="nil"/>
          <w:right w:val="nil"/>
          <w:insideH w:val="nil"/>
          <w:insideV w:val="nil"/>
        </w:tcBorders>
        <w:shd w:val="clear" w:color="auto" w:fill="E36C0A" w:themeFill="accent6" w:themeFillShade="BF"/>
      </w:tcPr>
    </w:tblStylePr>
  </w:style>
  <w:style w:type="table" w:styleId="ColorfulShading">
    <w:name w:val="Colorful Shading"/>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000000" w:themeColor="text1"/>
        <w:bottom w:val="single" w:sz="4" w:space="0" w:color="000000" w:themeColor="text1"/>
        <w:right w:val="single" w:sz="4" w:space="0" w:color="000000" w:themeColor="tex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6E6E6" w:themeFill="tex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00000" w:themeFill="text1" w:themeFillShade="99"/>
      </w:tcPr>
    </w:tblStylePr>
    <w:tblStylePr w:type="firstCol">
      <w:rPr>
        <w:color w:val="FFFFFF" w:themeColor="background1"/>
      </w:rPr>
      <w:tblPr/>
      <w:tcPr>
        <w:tcBorders>
          <w:top w:val="nil"/>
          <w:left w:val="nil"/>
          <w:bottom w:val="nil"/>
          <w:right w:val="nil"/>
          <w:insideH w:val="single" w:sz="4" w:space="0" w:color="000000" w:themeColor="text1" w:themeShade="99"/>
          <w:insideV w:val="nil"/>
        </w:tcBorders>
        <w:shd w:val="clear" w:color="auto" w:fill="000000" w:themeFill="text1" w:themeFillShade="99"/>
      </w:tcPr>
    </w:tblStylePr>
    <w:tblStylePr w:type="lastCol">
      <w:rPr>
        <w:color w:val="FFFFFF" w:themeColor="background1"/>
      </w:rPr>
      <w:tblPr/>
      <w:tcPr>
        <w:tcBorders>
          <w:top w:val="nil"/>
          <w:left w:val="nil"/>
          <w:bottom w:val="nil"/>
          <w:right w:val="nil"/>
          <w:insideH w:val="nil"/>
          <w:insideV w:val="nil"/>
        </w:tcBorders>
        <w:shd w:val="clear" w:color="auto" w:fill="000000" w:themeFill="text1" w:themeFillShade="BF"/>
      </w:tcPr>
    </w:tblStylePr>
    <w:tblStylePr w:type="band1Vert">
      <w:tblPr/>
      <w:tcPr>
        <w:shd w:val="clear" w:color="auto" w:fill="999999" w:themeFill="text1" w:themeFillTint="66"/>
      </w:tcPr>
    </w:tblStylePr>
    <w:tblStylePr w:type="band1Horz">
      <w:tblPr/>
      <w:tcPr>
        <w:shd w:val="clear" w:color="auto" w:fill="808080" w:themeFill="text1" w:themeFillTint="7F"/>
      </w:tcPr>
    </w:tblStylePr>
    <w:tblStylePr w:type="neCell">
      <w:rPr>
        <w:color w:val="000000" w:themeColor="text1"/>
      </w:rPr>
    </w:tblStylePr>
    <w:tblStylePr w:type="nwCell">
      <w:rPr>
        <w:color w:val="000000" w:themeColor="text1"/>
      </w:rPr>
    </w:tblStylePr>
  </w:style>
  <w:style w:type="table" w:styleId="ColorfulShading-Accent1">
    <w:name w:val="Colorful Shading Accent 1"/>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4F81BD" w:themeColor="accent1"/>
        <w:bottom w:val="single" w:sz="4" w:space="0" w:color="4F81BD" w:themeColor="accent1"/>
        <w:right w:val="single" w:sz="4" w:space="0" w:color="4F81BD" w:themeColor="accen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2F8" w:themeFill="accen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C4C74" w:themeFill="accent1" w:themeFillShade="99"/>
      </w:tcPr>
    </w:tblStylePr>
    <w:tblStylePr w:type="firstCol">
      <w:rPr>
        <w:color w:val="FFFFFF" w:themeColor="background1"/>
      </w:rPr>
      <w:tblPr/>
      <w:tcPr>
        <w:tcBorders>
          <w:top w:val="nil"/>
          <w:left w:val="nil"/>
          <w:bottom w:val="nil"/>
          <w:right w:val="nil"/>
          <w:insideH w:val="single" w:sz="4" w:space="0" w:color="2C4C74" w:themeColor="accent1" w:themeShade="99"/>
          <w:insideV w:val="nil"/>
        </w:tcBorders>
        <w:shd w:val="clear" w:color="auto" w:fill="2C4C74" w:themeFill="accent1" w:themeFillShade="99"/>
      </w:tcPr>
    </w:tblStylePr>
    <w:tblStylePr w:type="lastCol">
      <w:rPr>
        <w:color w:val="FFFFFF" w:themeColor="background1"/>
      </w:rPr>
      <w:tblPr/>
      <w:tcPr>
        <w:tcBorders>
          <w:top w:val="nil"/>
          <w:left w:val="nil"/>
          <w:bottom w:val="nil"/>
          <w:right w:val="nil"/>
          <w:insideH w:val="nil"/>
          <w:insideV w:val="nil"/>
        </w:tcBorders>
        <w:shd w:val="clear" w:color="auto" w:fill="2C4C74" w:themeFill="accent1" w:themeFillShade="99"/>
      </w:tcPr>
    </w:tblStylePr>
    <w:tblStylePr w:type="band1Vert">
      <w:tblPr/>
      <w:tcPr>
        <w:shd w:val="clear" w:color="auto" w:fill="B8CCE4" w:themeFill="accent1" w:themeFillTint="66"/>
      </w:tcPr>
    </w:tblStylePr>
    <w:tblStylePr w:type="band1Horz">
      <w:tblPr/>
      <w:tcPr>
        <w:shd w:val="clear" w:color="auto" w:fill="A7BFDE" w:themeFill="accent1" w:themeFillTint="7F"/>
      </w:tcPr>
    </w:tblStylePr>
    <w:tblStylePr w:type="neCell">
      <w:rPr>
        <w:color w:val="000000" w:themeColor="text1"/>
      </w:rPr>
    </w:tblStylePr>
    <w:tblStylePr w:type="nwCell">
      <w:rPr>
        <w:color w:val="000000" w:themeColor="text1"/>
      </w:rPr>
    </w:tblStylePr>
  </w:style>
  <w:style w:type="table" w:styleId="ColorfulShading-Accent2">
    <w:name w:val="Colorful Shading Accent 2"/>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C0504D" w:themeColor="accent2"/>
        <w:bottom w:val="single" w:sz="4" w:space="0" w:color="C0504D" w:themeColor="accent2"/>
        <w:right w:val="single" w:sz="4" w:space="0" w:color="C0504D" w:themeColor="accent2"/>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8EDED" w:themeFill="accent2"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772C2A" w:themeFill="accent2" w:themeFillShade="99"/>
      </w:tcPr>
    </w:tblStylePr>
    <w:tblStylePr w:type="firstCol">
      <w:rPr>
        <w:color w:val="FFFFFF" w:themeColor="background1"/>
      </w:rPr>
      <w:tblPr/>
      <w:tcPr>
        <w:tcBorders>
          <w:top w:val="nil"/>
          <w:left w:val="nil"/>
          <w:bottom w:val="nil"/>
          <w:right w:val="nil"/>
          <w:insideH w:val="single" w:sz="4" w:space="0" w:color="772C2A" w:themeColor="accent2" w:themeShade="99"/>
          <w:insideV w:val="nil"/>
        </w:tcBorders>
        <w:shd w:val="clear" w:color="auto" w:fill="772C2A" w:themeFill="accent2" w:themeFillShade="99"/>
      </w:tcPr>
    </w:tblStylePr>
    <w:tblStylePr w:type="lastCol">
      <w:rPr>
        <w:color w:val="FFFFFF" w:themeColor="background1"/>
      </w:rPr>
      <w:tblPr/>
      <w:tcPr>
        <w:tcBorders>
          <w:top w:val="nil"/>
          <w:left w:val="nil"/>
          <w:bottom w:val="nil"/>
          <w:right w:val="nil"/>
          <w:insideH w:val="nil"/>
          <w:insideV w:val="nil"/>
        </w:tcBorders>
        <w:shd w:val="clear" w:color="auto" w:fill="772C2A" w:themeFill="accent2" w:themeFillShade="99"/>
      </w:tcPr>
    </w:tblStylePr>
    <w:tblStylePr w:type="band1Vert">
      <w:tblPr/>
      <w:tcPr>
        <w:shd w:val="clear" w:color="auto" w:fill="E5B8B7" w:themeFill="accent2" w:themeFillTint="66"/>
      </w:tcPr>
    </w:tblStylePr>
    <w:tblStylePr w:type="band1Horz">
      <w:tblPr/>
      <w:tcPr>
        <w:shd w:val="clear" w:color="auto" w:fill="DFA7A6" w:themeFill="accent2" w:themeFillTint="7F"/>
      </w:tcPr>
    </w:tblStylePr>
    <w:tblStylePr w:type="neCell">
      <w:rPr>
        <w:color w:val="000000" w:themeColor="text1"/>
      </w:rPr>
    </w:tblStylePr>
    <w:tblStylePr w:type="nwCell">
      <w:rPr>
        <w:color w:val="000000" w:themeColor="text1"/>
      </w:rPr>
    </w:tblStylePr>
  </w:style>
  <w:style w:type="table" w:styleId="ColorfulShading-Accent3">
    <w:name w:val="Colorful Shading Accent 3"/>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8064A2" w:themeColor="accent4"/>
        <w:left w:val="single" w:sz="4" w:space="0" w:color="9BBB59" w:themeColor="accent3"/>
        <w:bottom w:val="single" w:sz="4" w:space="0" w:color="9BBB59" w:themeColor="accent3"/>
        <w:right w:val="single" w:sz="4" w:space="0" w:color="9BBB59" w:themeColor="accent3"/>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5F8EE" w:themeFill="accent3" w:themeFillTint="19"/>
    </w:tcPr>
    <w:tblStylePr w:type="firstRow">
      <w:rPr>
        <w:b/>
        <w:bCs/>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5E7530" w:themeFill="accent3" w:themeFillShade="99"/>
      </w:tcPr>
    </w:tblStylePr>
    <w:tblStylePr w:type="firstCol">
      <w:rPr>
        <w:color w:val="FFFFFF" w:themeColor="background1"/>
      </w:rPr>
      <w:tblPr/>
      <w:tcPr>
        <w:tcBorders>
          <w:top w:val="nil"/>
          <w:left w:val="nil"/>
          <w:bottom w:val="nil"/>
          <w:right w:val="nil"/>
          <w:insideH w:val="single" w:sz="4" w:space="0" w:color="5E7530" w:themeColor="accent3" w:themeShade="99"/>
          <w:insideV w:val="nil"/>
        </w:tcBorders>
        <w:shd w:val="clear" w:color="auto" w:fill="5E7530" w:themeFill="accent3" w:themeFillShade="99"/>
      </w:tcPr>
    </w:tblStylePr>
    <w:tblStylePr w:type="lastCol">
      <w:rPr>
        <w:color w:val="FFFFFF" w:themeColor="background1"/>
      </w:rPr>
      <w:tblPr/>
      <w:tcPr>
        <w:tcBorders>
          <w:top w:val="nil"/>
          <w:left w:val="nil"/>
          <w:bottom w:val="nil"/>
          <w:right w:val="nil"/>
          <w:insideH w:val="nil"/>
          <w:insideV w:val="nil"/>
        </w:tcBorders>
        <w:shd w:val="clear" w:color="auto" w:fill="5E7530" w:themeFill="accent3" w:themeFillShade="99"/>
      </w:tcPr>
    </w:tblStylePr>
    <w:tblStylePr w:type="band1Vert">
      <w:tblPr/>
      <w:tcPr>
        <w:shd w:val="clear" w:color="auto" w:fill="D6E3BC" w:themeFill="accent3" w:themeFillTint="66"/>
      </w:tcPr>
    </w:tblStylePr>
    <w:tblStylePr w:type="band1Horz">
      <w:tblPr/>
      <w:tcPr>
        <w:shd w:val="clear" w:color="auto" w:fill="CDDDAC" w:themeFill="accent3" w:themeFillTint="7F"/>
      </w:tcPr>
    </w:tblStylePr>
  </w:style>
  <w:style w:type="table" w:styleId="ColorfulShading-Accent4">
    <w:name w:val="Colorful Shading Accent 4"/>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9BBB59" w:themeColor="accent3"/>
        <w:left w:val="single" w:sz="4" w:space="0" w:color="8064A2" w:themeColor="accent4"/>
        <w:bottom w:val="single" w:sz="4" w:space="0" w:color="8064A2" w:themeColor="accent4"/>
        <w:right w:val="single" w:sz="4" w:space="0" w:color="8064A2" w:themeColor="accent4"/>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2EFF6" w:themeFill="accent4" w:themeFillTint="19"/>
    </w:tcPr>
    <w:tblStylePr w:type="firstRow">
      <w:rPr>
        <w:b/>
        <w:bCs/>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4C3B62" w:themeFill="accent4" w:themeFillShade="99"/>
      </w:tcPr>
    </w:tblStylePr>
    <w:tblStylePr w:type="firstCol">
      <w:rPr>
        <w:color w:val="FFFFFF" w:themeColor="background1"/>
      </w:rPr>
      <w:tblPr/>
      <w:tcPr>
        <w:tcBorders>
          <w:top w:val="nil"/>
          <w:left w:val="nil"/>
          <w:bottom w:val="nil"/>
          <w:right w:val="nil"/>
          <w:insideH w:val="single" w:sz="4" w:space="0" w:color="4C3B62" w:themeColor="accent4" w:themeShade="99"/>
          <w:insideV w:val="nil"/>
        </w:tcBorders>
        <w:shd w:val="clear" w:color="auto" w:fill="4C3B62" w:themeFill="accent4" w:themeFillShade="99"/>
      </w:tcPr>
    </w:tblStylePr>
    <w:tblStylePr w:type="lastCol">
      <w:rPr>
        <w:color w:val="FFFFFF" w:themeColor="background1"/>
      </w:rPr>
      <w:tblPr/>
      <w:tcPr>
        <w:tcBorders>
          <w:top w:val="nil"/>
          <w:left w:val="nil"/>
          <w:bottom w:val="nil"/>
          <w:right w:val="nil"/>
          <w:insideH w:val="nil"/>
          <w:insideV w:val="nil"/>
        </w:tcBorders>
        <w:shd w:val="clear" w:color="auto" w:fill="4C3B62" w:themeFill="accent4" w:themeFillShade="99"/>
      </w:tcPr>
    </w:tblStylePr>
    <w:tblStylePr w:type="band1Vert">
      <w:tblPr/>
      <w:tcPr>
        <w:shd w:val="clear" w:color="auto" w:fill="CCC0D9" w:themeFill="accent4" w:themeFillTint="66"/>
      </w:tcPr>
    </w:tblStylePr>
    <w:tblStylePr w:type="band1Horz">
      <w:tblPr/>
      <w:tcPr>
        <w:shd w:val="clear" w:color="auto" w:fill="BFB1D0" w:themeFill="accent4" w:themeFillTint="7F"/>
      </w:tcPr>
    </w:tblStylePr>
    <w:tblStylePr w:type="neCell">
      <w:rPr>
        <w:color w:val="000000" w:themeColor="text1"/>
      </w:rPr>
    </w:tblStylePr>
    <w:tblStylePr w:type="nwCell">
      <w:rPr>
        <w:color w:val="000000" w:themeColor="text1"/>
      </w:rPr>
    </w:tblStylePr>
  </w:style>
  <w:style w:type="table" w:styleId="ColorfulShading-Accent5">
    <w:name w:val="Colorful Shading Accent 5"/>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F79646" w:themeColor="accent6"/>
        <w:left w:val="single" w:sz="4" w:space="0" w:color="4BACC6" w:themeColor="accent5"/>
        <w:bottom w:val="single" w:sz="4" w:space="0" w:color="4BACC6" w:themeColor="accent5"/>
        <w:right w:val="single" w:sz="4" w:space="0" w:color="4BACC6" w:themeColor="accent5"/>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6F9" w:themeFill="accent5" w:themeFillTint="19"/>
    </w:tcPr>
    <w:tblStylePr w:type="firstRow">
      <w:rPr>
        <w:b/>
        <w:bCs/>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76A7C" w:themeFill="accent5" w:themeFillShade="99"/>
      </w:tcPr>
    </w:tblStylePr>
    <w:tblStylePr w:type="firstCol">
      <w:rPr>
        <w:color w:val="FFFFFF" w:themeColor="background1"/>
      </w:rPr>
      <w:tblPr/>
      <w:tcPr>
        <w:tcBorders>
          <w:top w:val="nil"/>
          <w:left w:val="nil"/>
          <w:bottom w:val="nil"/>
          <w:right w:val="nil"/>
          <w:insideH w:val="single" w:sz="4" w:space="0" w:color="276A7C" w:themeColor="accent5" w:themeShade="99"/>
          <w:insideV w:val="nil"/>
        </w:tcBorders>
        <w:shd w:val="clear" w:color="auto" w:fill="276A7C" w:themeFill="accent5" w:themeFillShade="99"/>
      </w:tcPr>
    </w:tblStylePr>
    <w:tblStylePr w:type="lastCol">
      <w:rPr>
        <w:color w:val="FFFFFF" w:themeColor="background1"/>
      </w:rPr>
      <w:tblPr/>
      <w:tcPr>
        <w:tcBorders>
          <w:top w:val="nil"/>
          <w:left w:val="nil"/>
          <w:bottom w:val="nil"/>
          <w:right w:val="nil"/>
          <w:insideH w:val="nil"/>
          <w:insideV w:val="nil"/>
        </w:tcBorders>
        <w:shd w:val="clear" w:color="auto" w:fill="276A7C" w:themeFill="accent5" w:themeFillShade="99"/>
      </w:tcPr>
    </w:tblStylePr>
    <w:tblStylePr w:type="band1Vert">
      <w:tblPr/>
      <w:tcPr>
        <w:shd w:val="clear" w:color="auto" w:fill="B6DDE8" w:themeFill="accent5" w:themeFillTint="66"/>
      </w:tcPr>
    </w:tblStylePr>
    <w:tblStylePr w:type="band1Horz">
      <w:tblPr/>
      <w:tcPr>
        <w:shd w:val="clear" w:color="auto" w:fill="A5D5E2" w:themeFill="accent5" w:themeFillTint="7F"/>
      </w:tcPr>
    </w:tblStylePr>
    <w:tblStylePr w:type="neCell">
      <w:rPr>
        <w:color w:val="000000" w:themeColor="text1"/>
      </w:rPr>
    </w:tblStylePr>
    <w:tblStylePr w:type="nwCell">
      <w:rPr>
        <w:color w:val="000000" w:themeColor="text1"/>
      </w:rPr>
    </w:tblStylePr>
  </w:style>
  <w:style w:type="table" w:styleId="ColorfulShading-Accent6">
    <w:name w:val="Colorful Shading Accent 6"/>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4BACC6" w:themeColor="accent5"/>
        <w:left w:val="single" w:sz="4" w:space="0" w:color="F79646" w:themeColor="accent6"/>
        <w:bottom w:val="single" w:sz="4" w:space="0" w:color="F79646" w:themeColor="accent6"/>
        <w:right w:val="single" w:sz="4" w:space="0" w:color="F79646" w:themeColor="accent6"/>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EF4EC" w:themeFill="accent6" w:themeFillTint="19"/>
    </w:tcPr>
    <w:tblStylePr w:type="firstRow">
      <w:rPr>
        <w:b/>
        <w:bCs/>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B65608" w:themeFill="accent6" w:themeFillShade="99"/>
      </w:tcPr>
    </w:tblStylePr>
    <w:tblStylePr w:type="firstCol">
      <w:rPr>
        <w:color w:val="FFFFFF" w:themeColor="background1"/>
      </w:rPr>
      <w:tblPr/>
      <w:tcPr>
        <w:tcBorders>
          <w:top w:val="nil"/>
          <w:left w:val="nil"/>
          <w:bottom w:val="nil"/>
          <w:right w:val="nil"/>
          <w:insideH w:val="single" w:sz="4" w:space="0" w:color="B65608" w:themeColor="accent6" w:themeShade="99"/>
          <w:insideV w:val="nil"/>
        </w:tcBorders>
        <w:shd w:val="clear" w:color="auto" w:fill="B65608" w:themeFill="accent6" w:themeFillShade="99"/>
      </w:tcPr>
    </w:tblStylePr>
    <w:tblStylePr w:type="lastCol">
      <w:rPr>
        <w:color w:val="FFFFFF" w:themeColor="background1"/>
      </w:rPr>
      <w:tblPr/>
      <w:tcPr>
        <w:tcBorders>
          <w:top w:val="nil"/>
          <w:left w:val="nil"/>
          <w:bottom w:val="nil"/>
          <w:right w:val="nil"/>
          <w:insideH w:val="nil"/>
          <w:insideV w:val="nil"/>
        </w:tcBorders>
        <w:shd w:val="clear" w:color="auto" w:fill="B65608" w:themeFill="accent6" w:themeFillShade="99"/>
      </w:tcPr>
    </w:tblStylePr>
    <w:tblStylePr w:type="band1Vert">
      <w:tblPr/>
      <w:tcPr>
        <w:shd w:val="clear" w:color="auto" w:fill="FBD4B4" w:themeFill="accent6" w:themeFillTint="66"/>
      </w:tcPr>
    </w:tblStylePr>
    <w:tblStylePr w:type="band1Horz">
      <w:tblPr/>
      <w:tcPr>
        <w:shd w:val="clear" w:color="auto" w:fill="FBCAA2" w:themeFill="accent6" w:themeFillTint="7F"/>
      </w:tcPr>
    </w:tblStylePr>
    <w:tblStylePr w:type="neCell">
      <w:rPr>
        <w:color w:val="000000" w:themeColor="text1"/>
      </w:rPr>
    </w:tblStylePr>
    <w:tblStylePr w:type="nwCell">
      <w:rPr>
        <w:color w:val="000000" w:themeColor="text1"/>
      </w:rPr>
    </w:tblStylePr>
  </w:style>
  <w:style w:type="table" w:styleId="ColorfulList">
    <w:name w:val="Colorful List"/>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6E6E6" w:themeFill="tex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C0C0C0" w:themeFill="text1" w:themeFillTint="3F"/>
      </w:tcPr>
    </w:tblStylePr>
    <w:tblStylePr w:type="band1Horz">
      <w:tblPr/>
      <w:tcPr>
        <w:shd w:val="clear" w:color="auto" w:fill="CCCCCC" w:themeFill="text1" w:themeFillTint="33"/>
      </w:tcPr>
    </w:tblStylePr>
  </w:style>
  <w:style w:type="table" w:styleId="ColorfulList-Accent1">
    <w:name w:val="Colorful List Accent 1"/>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2F8" w:themeFill="accen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3DFEE" w:themeFill="accent1" w:themeFillTint="3F"/>
      </w:tcPr>
    </w:tblStylePr>
    <w:tblStylePr w:type="band1Horz">
      <w:tblPr/>
      <w:tcPr>
        <w:shd w:val="clear" w:color="auto" w:fill="DBE5F1" w:themeFill="accent1" w:themeFillTint="33"/>
      </w:tcPr>
    </w:tblStylePr>
  </w:style>
  <w:style w:type="table" w:styleId="ColorfulList-Accent2">
    <w:name w:val="Colorful List Accent 2"/>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8EDED" w:themeFill="accent2"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FD3D2" w:themeFill="accent2" w:themeFillTint="3F"/>
      </w:tcPr>
    </w:tblStylePr>
    <w:tblStylePr w:type="band1Horz">
      <w:tblPr/>
      <w:tcPr>
        <w:shd w:val="clear" w:color="auto" w:fill="F2DBDB" w:themeFill="accent2" w:themeFillTint="33"/>
      </w:tcPr>
    </w:tblStylePr>
  </w:style>
  <w:style w:type="table" w:styleId="ColorfulList-Accent3">
    <w:name w:val="Colorful List Accent 3"/>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5F8EE" w:themeFill="accent3" w:themeFillTint="19"/>
    </w:tcPr>
    <w:tblStylePr w:type="firstRow">
      <w:rPr>
        <w:b/>
        <w:bCs/>
        <w:color w:val="FFFFFF" w:themeColor="background1"/>
      </w:rPr>
      <w:tblPr/>
      <w:tcPr>
        <w:tcBorders>
          <w:bottom w:val="single" w:sz="12" w:space="0" w:color="FFFFFF" w:themeColor="background1"/>
        </w:tcBorders>
        <w:shd w:val="clear" w:color="auto" w:fill="664E82" w:themeFill="accent4" w:themeFillShade="CC"/>
      </w:tcPr>
    </w:tblStylePr>
    <w:tblStylePr w:type="lastRow">
      <w:rPr>
        <w:b/>
        <w:bCs/>
        <w:color w:val="664E82" w:themeColor="accent4"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6EED5" w:themeFill="accent3" w:themeFillTint="3F"/>
      </w:tcPr>
    </w:tblStylePr>
    <w:tblStylePr w:type="band1Horz">
      <w:tblPr/>
      <w:tcPr>
        <w:shd w:val="clear" w:color="auto" w:fill="EAF1DD" w:themeFill="accent3" w:themeFillTint="33"/>
      </w:tcPr>
    </w:tblStylePr>
  </w:style>
  <w:style w:type="table" w:styleId="ColorfulList-Accent4">
    <w:name w:val="Colorful List Accent 4"/>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2EFF6" w:themeFill="accent4" w:themeFillTint="19"/>
    </w:tcPr>
    <w:tblStylePr w:type="firstRow">
      <w:rPr>
        <w:b/>
        <w:bCs/>
        <w:color w:val="FFFFFF" w:themeColor="background1"/>
      </w:rPr>
      <w:tblPr/>
      <w:tcPr>
        <w:tcBorders>
          <w:bottom w:val="single" w:sz="12" w:space="0" w:color="FFFFFF" w:themeColor="background1"/>
        </w:tcBorders>
        <w:shd w:val="clear" w:color="auto" w:fill="7E9C40" w:themeFill="accent3" w:themeFillShade="CC"/>
      </w:tcPr>
    </w:tblStylePr>
    <w:tblStylePr w:type="lastRow">
      <w:rPr>
        <w:b/>
        <w:bCs/>
        <w:color w:val="7E9C40" w:themeColor="accent3"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FD8E8" w:themeFill="accent4" w:themeFillTint="3F"/>
      </w:tcPr>
    </w:tblStylePr>
    <w:tblStylePr w:type="band1Horz">
      <w:tblPr/>
      <w:tcPr>
        <w:shd w:val="clear" w:color="auto" w:fill="E5DFEC" w:themeFill="accent4" w:themeFillTint="33"/>
      </w:tcPr>
    </w:tblStylePr>
  </w:style>
  <w:style w:type="table" w:styleId="ColorfulList-Accent5">
    <w:name w:val="Colorful List Accent 5"/>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6F9" w:themeFill="accent5" w:themeFillTint="19"/>
    </w:tcPr>
    <w:tblStylePr w:type="firstRow">
      <w:rPr>
        <w:b/>
        <w:bCs/>
        <w:color w:val="FFFFFF" w:themeColor="background1"/>
      </w:rPr>
      <w:tblPr/>
      <w:tcPr>
        <w:tcBorders>
          <w:bottom w:val="single" w:sz="12" w:space="0" w:color="FFFFFF" w:themeColor="background1"/>
        </w:tcBorders>
        <w:shd w:val="clear" w:color="auto" w:fill="F2730A" w:themeFill="accent6" w:themeFillShade="CC"/>
      </w:tcPr>
    </w:tblStylePr>
    <w:tblStylePr w:type="lastRow">
      <w:rPr>
        <w:b/>
        <w:bCs/>
        <w:color w:val="F2730A" w:themeColor="accent6"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2EAF1" w:themeFill="accent5" w:themeFillTint="3F"/>
      </w:tcPr>
    </w:tblStylePr>
    <w:tblStylePr w:type="band1Horz">
      <w:tblPr/>
      <w:tcPr>
        <w:shd w:val="clear" w:color="auto" w:fill="DAEEF3" w:themeFill="accent5" w:themeFillTint="33"/>
      </w:tcPr>
    </w:tblStylePr>
  </w:style>
  <w:style w:type="table" w:styleId="ColorfulList-Accent6">
    <w:name w:val="Colorful List Accent 6"/>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EF4EC" w:themeFill="accent6" w:themeFillTint="19"/>
    </w:tcPr>
    <w:tblStylePr w:type="firstRow">
      <w:rPr>
        <w:b/>
        <w:bCs/>
        <w:color w:val="FFFFFF" w:themeColor="background1"/>
      </w:rPr>
      <w:tblPr/>
      <w:tcPr>
        <w:tcBorders>
          <w:bottom w:val="single" w:sz="12" w:space="0" w:color="FFFFFF" w:themeColor="background1"/>
        </w:tcBorders>
        <w:shd w:val="clear" w:color="auto" w:fill="348DA5" w:themeFill="accent5" w:themeFillShade="CC"/>
      </w:tcPr>
    </w:tblStylePr>
    <w:tblStylePr w:type="lastRow">
      <w:rPr>
        <w:b/>
        <w:bCs/>
        <w:color w:val="348DA5" w:themeColor="accent5"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FDE4D0" w:themeFill="accent6" w:themeFillTint="3F"/>
      </w:tcPr>
    </w:tblStylePr>
    <w:tblStylePr w:type="band1Horz">
      <w:tblPr/>
      <w:tcPr>
        <w:shd w:val="clear" w:color="auto" w:fill="FDE9D9" w:themeFill="accent6" w:themeFillTint="33"/>
      </w:tcPr>
    </w:tblStylePr>
  </w:style>
  <w:style w:type="table" w:styleId="ColorfulGrid">
    <w:name w:val="Colorful Grid"/>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CCCCCC" w:themeFill="text1" w:themeFillTint="33"/>
    </w:tcPr>
    <w:tblStylePr w:type="firstRow">
      <w:rPr>
        <w:b/>
        <w:bCs/>
      </w:rPr>
      <w:tblPr/>
      <w:tcPr>
        <w:shd w:val="clear" w:color="auto" w:fill="999999" w:themeFill="text1" w:themeFillTint="66"/>
      </w:tcPr>
    </w:tblStylePr>
    <w:tblStylePr w:type="lastRow">
      <w:rPr>
        <w:b/>
        <w:bCs/>
        <w:color w:val="000000" w:themeColor="text1"/>
      </w:rPr>
      <w:tblPr/>
      <w:tcPr>
        <w:shd w:val="clear" w:color="auto" w:fill="999999" w:themeFill="text1" w:themeFillTint="66"/>
      </w:tcPr>
    </w:tblStylePr>
    <w:tblStylePr w:type="firstCol">
      <w:rPr>
        <w:color w:val="FFFFFF" w:themeColor="background1"/>
      </w:rPr>
      <w:tblPr/>
      <w:tcPr>
        <w:shd w:val="clear" w:color="auto" w:fill="000000" w:themeFill="text1" w:themeFillShade="BF"/>
      </w:tcPr>
    </w:tblStylePr>
    <w:tblStylePr w:type="lastCol">
      <w:rPr>
        <w:color w:val="FFFFFF" w:themeColor="background1"/>
      </w:rPr>
      <w:tblPr/>
      <w:tcPr>
        <w:shd w:val="clear" w:color="auto" w:fill="000000" w:themeFill="text1" w:themeFillShade="BF"/>
      </w:tc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ColorfulGrid-Accent1">
    <w:name w:val="Colorful Grid Accent 1"/>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BE5F1" w:themeFill="accent1" w:themeFillTint="33"/>
    </w:tcPr>
    <w:tblStylePr w:type="firstRow">
      <w:rPr>
        <w:b/>
        <w:bCs/>
      </w:rPr>
      <w:tblPr/>
      <w:tcPr>
        <w:shd w:val="clear" w:color="auto" w:fill="B8CCE4" w:themeFill="accent1" w:themeFillTint="66"/>
      </w:tcPr>
    </w:tblStylePr>
    <w:tblStylePr w:type="lastRow">
      <w:rPr>
        <w:b/>
        <w:bCs/>
        <w:color w:val="000000" w:themeColor="text1"/>
      </w:rPr>
      <w:tblPr/>
      <w:tcPr>
        <w:shd w:val="clear" w:color="auto" w:fill="B8CCE4" w:themeFill="accent1" w:themeFillTint="66"/>
      </w:tcPr>
    </w:tblStylePr>
    <w:tblStylePr w:type="firstCol">
      <w:rPr>
        <w:color w:val="FFFFFF" w:themeColor="background1"/>
      </w:rPr>
      <w:tblPr/>
      <w:tcPr>
        <w:shd w:val="clear" w:color="auto" w:fill="365F91" w:themeFill="accent1" w:themeFillShade="BF"/>
      </w:tcPr>
    </w:tblStylePr>
    <w:tblStylePr w:type="lastCol">
      <w:rPr>
        <w:color w:val="FFFFFF" w:themeColor="background1"/>
      </w:rPr>
      <w:tblPr/>
      <w:tcPr>
        <w:shd w:val="clear" w:color="auto" w:fill="365F91" w:themeFill="accent1" w:themeFillShade="BF"/>
      </w:tc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ColorfulGrid-Accent2">
    <w:name w:val="Colorful Grid Accent 2"/>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2DBDB" w:themeFill="accent2" w:themeFillTint="33"/>
    </w:tcPr>
    <w:tblStylePr w:type="firstRow">
      <w:rPr>
        <w:b/>
        <w:bCs/>
      </w:rPr>
      <w:tblPr/>
      <w:tcPr>
        <w:shd w:val="clear" w:color="auto" w:fill="E5B8B7" w:themeFill="accent2" w:themeFillTint="66"/>
      </w:tcPr>
    </w:tblStylePr>
    <w:tblStylePr w:type="lastRow">
      <w:rPr>
        <w:b/>
        <w:bCs/>
        <w:color w:val="000000" w:themeColor="text1"/>
      </w:rPr>
      <w:tblPr/>
      <w:tcPr>
        <w:shd w:val="clear" w:color="auto" w:fill="E5B8B7" w:themeFill="accent2" w:themeFillTint="66"/>
      </w:tcPr>
    </w:tblStylePr>
    <w:tblStylePr w:type="firstCol">
      <w:rPr>
        <w:color w:val="FFFFFF" w:themeColor="background1"/>
      </w:rPr>
      <w:tblPr/>
      <w:tcPr>
        <w:shd w:val="clear" w:color="auto" w:fill="943634" w:themeFill="accent2" w:themeFillShade="BF"/>
      </w:tcPr>
    </w:tblStylePr>
    <w:tblStylePr w:type="lastCol">
      <w:rPr>
        <w:color w:val="FFFFFF" w:themeColor="background1"/>
      </w:rPr>
      <w:tblPr/>
      <w:tcPr>
        <w:shd w:val="clear" w:color="auto" w:fill="943634" w:themeFill="accent2" w:themeFillShade="BF"/>
      </w:tc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ColorfulGrid-Accent3">
    <w:name w:val="Colorful Grid Accent 3"/>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AF1DD" w:themeFill="accent3" w:themeFillTint="33"/>
    </w:tcPr>
    <w:tblStylePr w:type="firstRow">
      <w:rPr>
        <w:b/>
        <w:bCs/>
      </w:rPr>
      <w:tblPr/>
      <w:tcPr>
        <w:shd w:val="clear" w:color="auto" w:fill="D6E3BC" w:themeFill="accent3" w:themeFillTint="66"/>
      </w:tcPr>
    </w:tblStylePr>
    <w:tblStylePr w:type="lastRow">
      <w:rPr>
        <w:b/>
        <w:bCs/>
        <w:color w:val="000000" w:themeColor="text1"/>
      </w:rPr>
      <w:tblPr/>
      <w:tcPr>
        <w:shd w:val="clear" w:color="auto" w:fill="D6E3BC" w:themeFill="accent3" w:themeFillTint="66"/>
      </w:tcPr>
    </w:tblStylePr>
    <w:tblStylePr w:type="firstCol">
      <w:rPr>
        <w:color w:val="FFFFFF" w:themeColor="background1"/>
      </w:rPr>
      <w:tblPr/>
      <w:tcPr>
        <w:shd w:val="clear" w:color="auto" w:fill="76923C" w:themeFill="accent3" w:themeFillShade="BF"/>
      </w:tcPr>
    </w:tblStylePr>
    <w:tblStylePr w:type="lastCol">
      <w:rPr>
        <w:color w:val="FFFFFF" w:themeColor="background1"/>
      </w:rPr>
      <w:tblPr/>
      <w:tcPr>
        <w:shd w:val="clear" w:color="auto" w:fill="76923C" w:themeFill="accent3" w:themeFillShade="BF"/>
      </w:tc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ColorfulGrid-Accent4">
    <w:name w:val="Colorful Grid Accent 4"/>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5DFEC" w:themeFill="accent4" w:themeFillTint="33"/>
    </w:tcPr>
    <w:tblStylePr w:type="firstRow">
      <w:rPr>
        <w:b/>
        <w:bCs/>
      </w:rPr>
      <w:tblPr/>
      <w:tcPr>
        <w:shd w:val="clear" w:color="auto" w:fill="CCC0D9" w:themeFill="accent4" w:themeFillTint="66"/>
      </w:tcPr>
    </w:tblStylePr>
    <w:tblStylePr w:type="lastRow">
      <w:rPr>
        <w:b/>
        <w:bCs/>
        <w:color w:val="000000" w:themeColor="text1"/>
      </w:rPr>
      <w:tblPr/>
      <w:tcPr>
        <w:shd w:val="clear" w:color="auto" w:fill="CCC0D9" w:themeFill="accent4" w:themeFillTint="66"/>
      </w:tcPr>
    </w:tblStylePr>
    <w:tblStylePr w:type="firstCol">
      <w:rPr>
        <w:color w:val="FFFFFF" w:themeColor="background1"/>
      </w:rPr>
      <w:tblPr/>
      <w:tcPr>
        <w:shd w:val="clear" w:color="auto" w:fill="5F497A" w:themeFill="accent4" w:themeFillShade="BF"/>
      </w:tcPr>
    </w:tblStylePr>
    <w:tblStylePr w:type="lastCol">
      <w:rPr>
        <w:color w:val="FFFFFF" w:themeColor="background1"/>
      </w:rPr>
      <w:tblPr/>
      <w:tcPr>
        <w:shd w:val="clear" w:color="auto" w:fill="5F497A" w:themeFill="accent4" w:themeFillShade="BF"/>
      </w:tc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ColorfulGrid-Accent5">
    <w:name w:val="Colorful Grid Accent 5"/>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AEEF3" w:themeFill="accent5" w:themeFillTint="33"/>
    </w:tcPr>
    <w:tblStylePr w:type="firstRow">
      <w:rPr>
        <w:b/>
        <w:bCs/>
      </w:rPr>
      <w:tblPr/>
      <w:tcPr>
        <w:shd w:val="clear" w:color="auto" w:fill="B6DDE8" w:themeFill="accent5" w:themeFillTint="66"/>
      </w:tcPr>
    </w:tblStylePr>
    <w:tblStylePr w:type="lastRow">
      <w:rPr>
        <w:b/>
        <w:bCs/>
        <w:color w:val="000000" w:themeColor="text1"/>
      </w:rPr>
      <w:tblPr/>
      <w:tcPr>
        <w:shd w:val="clear" w:color="auto" w:fill="B6DDE8" w:themeFill="accent5" w:themeFillTint="66"/>
      </w:tcPr>
    </w:tblStylePr>
    <w:tblStylePr w:type="firstCol">
      <w:rPr>
        <w:color w:val="FFFFFF" w:themeColor="background1"/>
      </w:rPr>
      <w:tblPr/>
      <w:tcPr>
        <w:shd w:val="clear" w:color="auto" w:fill="31849B" w:themeFill="accent5" w:themeFillShade="BF"/>
      </w:tcPr>
    </w:tblStylePr>
    <w:tblStylePr w:type="lastCol">
      <w:rPr>
        <w:color w:val="FFFFFF" w:themeColor="background1"/>
      </w:rPr>
      <w:tblPr/>
      <w:tcPr>
        <w:shd w:val="clear" w:color="auto" w:fill="31849B" w:themeFill="accent5" w:themeFillShade="BF"/>
      </w:tc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ColorfulGrid-Accent6">
    <w:name w:val="Colorful Grid Accent 6"/>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DE9D9" w:themeFill="accent6" w:themeFillTint="33"/>
    </w:tcPr>
    <w:tblStylePr w:type="firstRow">
      <w:rPr>
        <w:b/>
        <w:bCs/>
      </w:rPr>
      <w:tblPr/>
      <w:tcPr>
        <w:shd w:val="clear" w:color="auto" w:fill="FBD4B4" w:themeFill="accent6" w:themeFillTint="66"/>
      </w:tcPr>
    </w:tblStylePr>
    <w:tblStylePr w:type="lastRow">
      <w:rPr>
        <w:b/>
        <w:bCs/>
        <w:color w:val="000000" w:themeColor="text1"/>
      </w:rPr>
      <w:tblPr/>
      <w:tcPr>
        <w:shd w:val="clear" w:color="auto" w:fill="FBD4B4" w:themeFill="accent6" w:themeFillTint="66"/>
      </w:tcPr>
    </w:tblStylePr>
    <w:tblStylePr w:type="firstCol">
      <w:rPr>
        <w:color w:val="FFFFFF" w:themeColor="background1"/>
      </w:rPr>
      <w:tblPr/>
      <w:tcPr>
        <w:shd w:val="clear" w:color="auto" w:fill="E36C0A" w:themeFill="accent6" w:themeFillShade="BF"/>
      </w:tcPr>
    </w:tblStylePr>
    <w:tblStylePr w:type="lastCol">
      <w:rPr>
        <w:color w:val="FFFFFF" w:themeColor="background1"/>
      </w:rPr>
      <w:tblPr/>
      <w:tcPr>
        <w:shd w:val="clear" w:color="auto" w:fill="E36C0A" w:themeFill="accent6" w:themeFillShade="BF"/>
      </w:tc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mc:Ignorable="w14">
  <w:allowPNG/>
  <w:doNotSaveAsSingleFile/>
</w:webSettings>
</file>

<file path=word/_rels/document.xml.rels><?xml version='1.0' encoding='UTF-8' standalone='yes'?>
<Relationships xmlns="http://schemas.openxmlformats.org/package/2006/relationships"><Relationship Id="rId3" Type="http://schemas.openxmlformats.org/officeDocument/2006/relationships/styles" Target="styles.xml"/><Relationship Id="rId4" Type="http://schemas.microsoft.com/office/2007/relationships/stylesWithEffects" Target="stylesWithEffects.xml"/><Relationship Id="rId5" Type="http://schemas.openxmlformats.org/officeDocument/2006/relationships/settings" Target="settings.xml"/><Relationship Id="rId6" Type="http://schemas.openxmlformats.org/officeDocument/2006/relationships/webSettings" Target="webSettings.xml"/><Relationship Id="rId7" Type="http://schemas.openxmlformats.org/officeDocument/2006/relationships/fontTable" Target="fontTable.xml"/><Relationship Id="rId8" Type="http://schemas.openxmlformats.org/officeDocument/2006/relationships/theme" Target="theme/theme1.xml"/><Relationship Id="rId1" Type="http://schemas.openxmlformats.org/officeDocument/2006/relationships/customXml" Target="../customXml/item1.xml"/><Relationship Id="rId2" Type="http://schemas.openxmlformats.org/officeDocument/2006/relationships/numbering" Target="numbering.xml"/><Relationship Id="rId9" Type="http://schemas.openxmlformats.org/officeDocument/2006/relationships/header" Target="header1.xml"/><Relationship Id="rId10" Type="http://schemas.openxmlformats.org/officeDocument/2006/relationships/footer" Target="footer1.xml"/><Relationship Id="rId11" Type="http://schemas.openxmlformats.org/officeDocument/2006/relationships/hyperlink" Target="https://www.fema.gov/openfema-data-page/hazard-mitigation-plan-statuses-v1" TargetMode="External"/><Relationship Id="rId12" Type="http://schemas.openxmlformats.org/officeDocument/2006/relationships/hyperlink" Target="https://www.fema.gov/api/open/v1/HazardMitigationPlanStatuses" TargetMode="External"/><Relationship Id="rId13" Type="http://schemas.openxmlformats.org/officeDocument/2006/relationships/hyperlink" Target="https://www.fema.gov/about/reports-and-data/openfema/nri/v120/NRI_Table_Counties.zip" TargetMode="External"/><Relationship Id="rId14" Type="http://schemas.openxmlformats.org/officeDocument/2006/relationships/hyperlink" Target="https://www.fema.gov/about/reports-and-data/openfema/nri/v120/NRI_Table_CensusTracts.zip" TargetMode="External"/><Relationship Id="rId15" Type="http://schemas.openxmlformats.org/officeDocument/2006/relationships/hyperlink" Target="https://www.ncei.noaa.gov/pub/data/swdi/stormevents/csvfiles/" TargetMode="External"/><Relationship Id="rId16" Type="http://schemas.openxmlformats.org/officeDocument/2006/relationships/hyperlink" Target="https://msc.fema.gov" TargetMode="External"/><Relationship Id="rId17" Type="http://schemas.openxmlformats.org/officeDocument/2006/relationships/hyperlink" Target="https://www.weather.gov/gis/ZoneCounty" TargetMode="External"/><Relationship Id="rId18" Type="http://schemas.openxmlformats.org/officeDocument/2006/relationships/hyperlink" Target="https://www.fema.gov/openfema-data-page/disaster-declarations-summaries-v2" TargetMode="External"/><Relationship Id="rId19" Type="http://schemas.openxmlformats.org/officeDocument/2006/relationships/hyperlink" Target="https://www.fema.gov/api/open/v2/DisasterDeclarationsSummaries" TargetMode="External"/><Relationship Id="rId20" Type="http://schemas.openxmlformats.org/officeDocument/2006/relationships/hyperlink" Target="https://www.fema.gov/openfema-data-page/public-assistance-funded-project-summaries-v1" TargetMode="External"/><Relationship Id="rId21" Type="http://schemas.openxmlformats.org/officeDocument/2006/relationships/hyperlink" Target="https://www.fema.gov/api/open/v1/PublicAssistanceFundedProjectsSummaries" TargetMode="External"/><Relationship Id="rId22" Type="http://schemas.openxmlformats.org/officeDocument/2006/relationships/hyperlink" Target="https://www.fema.gov/openfema-data-page/nfip-multiple-loss-properties-v1" TargetMode="External"/><Relationship Id="rId23" Type="http://schemas.openxmlformats.org/officeDocument/2006/relationships/hyperlink" Target="https://www.fema.gov/api/open/v1/NfipMultipleLossProperties" TargetMode="External"/><Relationship Id="rId24" Type="http://schemas.openxmlformats.org/officeDocument/2006/relationships/hyperlink" Target="https://creativecommons.org/licenses/by/4.0/" TargetMode="External"/><Relationship Id="rId25" Type="http://schemas.openxmlformats.org/officeDocument/2006/relationships/hyperlink" Target="https://www2.census.gov/geo/docs/maps-data/data/gazetteer/2024_Gazetteer/2024_Gaz_counties_national.zip" TargetMode="External"/><Relationship Id="rId26" Type="http://schemas.openxmlformats.org/officeDocument/2006/relationships/hyperlink" Target="https://www2.census.gov/geo/docs/maps-data/data/gazetteer/2024_Gazetteer/2024_Gaz_cousubs_national.zip" TargetMode="External"/><Relationship Id="rId27" Type="http://schemas.openxmlformats.org/officeDocument/2006/relationships/hyperlink" Target="https://www2.census.gov/geo/docs/maps-data/data/gazetteer/2024_Gazetteer/2024_Gaz_place_national.zip" TargetMode="External"/><Relationship Id="rId28" Type="http://schemas.openxmlformats.org/officeDocument/2006/relationships/hyperlink" Target="https://www2.census.gov/geo/docs/maps-data/data/gazetteer/2024_Gazetteer/2024_Gaz_unsd_national.zip" TargetMode="External"/><Relationship Id="rId29" Type="http://schemas.openxmlformats.org/officeDocument/2006/relationships/hyperlink" Target="https://www2.census.gov/geo/docs/maps-data/data/gazetteer/2024_Gazetteer/2024_Gaz_elsd_national.zip" TargetMode="External"/><Relationship Id="rId30" Type="http://schemas.openxmlformats.org/officeDocument/2006/relationships/hyperlink" Target="https://www2.census.gov/geo/docs/maps-data/data/gazetteer/2024_Gazetteer/2024_Gaz_scsd_national.zip" TargetMode="External"/><Relationship Id="rId31" Type="http://schemas.openxmlformats.org/officeDocument/2006/relationships/hyperlink" Target="https://www2.census.gov/geo/docs/reference/codes2020/national_place_by_county2020.txt" TargetMode="External"/><Relationship Id="rId32" Type="http://schemas.openxmlformats.org/officeDocument/2006/relationships/hyperlink" Target="https://www2.census.gov/geo/docs/reference/ct_change/ct_cou_to_cousub_crosswalk.xlsx" TargetMode="Externa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XSL" StyleName="APA"/>
</file>

<file path=customXml/itemProps1.xml><?xml version="1.0" encoding="utf-8"?>
<ds:datastoreItem xmlns:ds="http://schemas.openxmlformats.org/officeDocument/2006/customXml" ds:itemID="{EF278816-EC6F-A645-907D-7F25AECB1D4A}">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Normal.dotm</Template>
  <TotalTime>0</TotalTime>
  <Pages>1</Pages>
  <Words>0</Words>
  <Characters>0</Characters>
  <Application>Microsoft Macintosh Word</Application>
  <DocSecurity>0</DocSecurity>
  <Lines>0</Lines>
  <Paragraphs>0</Paragraphs>
  <ScaleCrop>false</ScaleCrop>
  <HeadingPairs>
    <vt:vector size="2" baseType="variant">
      <vt:variant>
        <vt:lpstr>Title</vt:lpstr>
      </vt:variant>
      <vt:variant>
        <vt:i4>1</vt:i4>
      </vt:variant>
    </vt:vector>
  </HeadingPairs>
  <TitlesOfParts>
    <vt:vector size="1" baseType="lpstr">
      <vt:lpstr/>
    </vt:vector>
  </TitlesOfParts>
  <Manager/>
  <Company/>
  <LinksUpToDate>false</LinksUpToDate>
  <CharactersWithSpaces>0</CharactersWithSpaces>
  <SharedDoc>false</SharedDoc>
  <HyperlinkBase/>
  <HyperlinksChanged>false</HyperlinksChanged>
  <AppVersion>14.0000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Warrick County, IN: Risk-assessment baseline packet</dc:title>
  <dc:subject>Hazard Plain release 2026-10, as of 2026-09-28. Preview: automated baseline</dc:subject>
  <dc:creator>Hazard Plain</dc:creator>
  <cp:keywords>Hazard Plain; hazard mitigation; risk assessment; 18173</cp:keywords>
  <dc:description>Hazard Plain is an independent product built from public federal data. It is not a FEMA document and is not reviewed or endorsed by FEMA or any state agency.</dc:description>
  <cp:lastModifiedBy>Hazard Plain</cp:lastModifiedBy>
  <cp:revision>1</cp:revision>
  <dcterms:created xsi:type="dcterms:W3CDTF">2013-12-23T23:15:00Z</dcterms:created>
  <dcterms:modified xsi:type="dcterms:W3CDTF">2013-12-23T23:15:00Z</dcterms:modified>
  <cp:category/>
  <dc:language>en-US</dc:language>
</cp:coreProperties>
</file>